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4128"/>
        <w:gridCol w:w="3668"/>
      </w:tblGrid>
      <w:tr w:rsidR="000A7A0B" w:rsidRPr="00862A4F" w:rsidTr="00862A4F">
        <w:trPr>
          <w:trHeight w:val="691"/>
        </w:trPr>
        <w:tc>
          <w:tcPr>
            <w:tcW w:w="2235" w:type="dxa"/>
          </w:tcPr>
          <w:p w:rsidR="00215DE5" w:rsidRPr="00862A4F" w:rsidRDefault="00215DE5" w:rsidP="00862A4F">
            <w:pPr>
              <w:spacing w:after="0" w:line="240" w:lineRule="auto"/>
              <w:rPr>
                <w:sz w:val="20"/>
                <w:szCs w:val="20"/>
              </w:rPr>
            </w:pPr>
            <w:r w:rsidRPr="00862A4F">
              <w:rPr>
                <w:sz w:val="20"/>
                <w:szCs w:val="20"/>
              </w:rPr>
              <w:t>Date</w:t>
            </w:r>
            <w:r w:rsidR="00203165" w:rsidRPr="00862A4F">
              <w:rPr>
                <w:sz w:val="20"/>
                <w:szCs w:val="20"/>
              </w:rPr>
              <w:t>:</w:t>
            </w:r>
          </w:p>
        </w:tc>
        <w:tc>
          <w:tcPr>
            <w:tcW w:w="3685" w:type="dxa"/>
          </w:tcPr>
          <w:p w:rsidR="00215DE5" w:rsidRPr="00813F71" w:rsidRDefault="00215DE5" w:rsidP="00862A4F">
            <w:pPr>
              <w:spacing w:after="0" w:line="240" w:lineRule="auto"/>
              <w:rPr>
                <w:sz w:val="20"/>
                <w:szCs w:val="20"/>
              </w:rPr>
            </w:pPr>
            <w:r w:rsidRPr="00813F71">
              <w:rPr>
                <w:sz w:val="20"/>
                <w:szCs w:val="20"/>
              </w:rPr>
              <w:t>Examination No.:</w:t>
            </w:r>
            <w:r w:rsidR="00F848B1" w:rsidRPr="00813F71">
              <w:rPr>
                <w:sz w:val="20"/>
                <w:szCs w:val="20"/>
              </w:rPr>
              <w:t xml:space="preserve"> 15367</w:t>
            </w:r>
          </w:p>
        </w:tc>
        <w:tc>
          <w:tcPr>
            <w:tcW w:w="4128" w:type="dxa"/>
          </w:tcPr>
          <w:p w:rsidR="00215DE5" w:rsidRPr="00813F71" w:rsidRDefault="00215DE5" w:rsidP="00862A4F">
            <w:pPr>
              <w:spacing w:after="0" w:line="240" w:lineRule="auto"/>
              <w:rPr>
                <w:sz w:val="20"/>
                <w:szCs w:val="20"/>
              </w:rPr>
            </w:pPr>
            <w:r w:rsidRPr="00813F71">
              <w:rPr>
                <w:sz w:val="20"/>
                <w:szCs w:val="20"/>
              </w:rPr>
              <w:t>Version:</w:t>
            </w:r>
            <w:r w:rsidR="00F848B1" w:rsidRPr="00813F71">
              <w:rPr>
                <w:sz w:val="20"/>
                <w:szCs w:val="20"/>
              </w:rPr>
              <w:t>1/9/2019</w:t>
            </w:r>
          </w:p>
        </w:tc>
        <w:tc>
          <w:tcPr>
            <w:tcW w:w="3668" w:type="dxa"/>
          </w:tcPr>
          <w:p w:rsidR="00215DE5" w:rsidRPr="00813F71" w:rsidRDefault="00215DE5" w:rsidP="00C256DC">
            <w:pPr>
              <w:spacing w:after="0" w:line="240" w:lineRule="auto"/>
              <w:rPr>
                <w:sz w:val="20"/>
                <w:szCs w:val="20"/>
              </w:rPr>
            </w:pPr>
            <w:r w:rsidRPr="00813F71">
              <w:rPr>
                <w:sz w:val="20"/>
                <w:szCs w:val="20"/>
              </w:rPr>
              <w:t>Start:</w:t>
            </w:r>
            <w:r w:rsidR="00F848B1" w:rsidRPr="00813F71">
              <w:rPr>
                <w:sz w:val="20"/>
                <w:szCs w:val="20"/>
              </w:rPr>
              <w:t xml:space="preserve"> </w:t>
            </w:r>
            <w:r w:rsidR="00C256DC">
              <w:rPr>
                <w:sz w:val="20"/>
                <w:szCs w:val="20"/>
              </w:rPr>
              <w:t>31</w:t>
            </w:r>
            <w:r w:rsidR="00F848B1" w:rsidRPr="00813F71">
              <w:rPr>
                <w:sz w:val="20"/>
                <w:szCs w:val="20"/>
              </w:rPr>
              <w:t>/</w:t>
            </w:r>
            <w:r w:rsidR="00C256DC">
              <w:rPr>
                <w:sz w:val="20"/>
                <w:szCs w:val="20"/>
              </w:rPr>
              <w:t>1</w:t>
            </w:r>
            <w:r w:rsidR="00F848B1" w:rsidRPr="00813F71">
              <w:rPr>
                <w:sz w:val="20"/>
                <w:szCs w:val="20"/>
              </w:rPr>
              <w:t>/20</w:t>
            </w:r>
            <w:r w:rsidR="00813F71">
              <w:rPr>
                <w:sz w:val="20"/>
                <w:szCs w:val="20"/>
              </w:rPr>
              <w:t>2</w:t>
            </w:r>
            <w:r w:rsidR="00D13A68">
              <w:rPr>
                <w:sz w:val="20"/>
                <w:szCs w:val="20"/>
              </w:rPr>
              <w:t>4</w:t>
            </w:r>
          </w:p>
        </w:tc>
      </w:tr>
      <w:tr w:rsidR="00215DE5" w:rsidRPr="00862A4F" w:rsidTr="00862A4F">
        <w:trPr>
          <w:trHeight w:val="275"/>
        </w:trPr>
        <w:tc>
          <w:tcPr>
            <w:tcW w:w="2235" w:type="dxa"/>
          </w:tcPr>
          <w:p w:rsidR="00215DE5" w:rsidRPr="00862A4F" w:rsidRDefault="00215DE5" w:rsidP="00862A4F">
            <w:pPr>
              <w:spacing w:after="0" w:line="240" w:lineRule="auto"/>
              <w:rPr>
                <w:b/>
                <w:bCs/>
                <w:sz w:val="20"/>
                <w:szCs w:val="20"/>
              </w:rPr>
            </w:pPr>
            <w:r w:rsidRPr="00862A4F">
              <w:rPr>
                <w:b/>
                <w:bCs/>
                <w:sz w:val="20"/>
                <w:szCs w:val="20"/>
              </w:rPr>
              <w:t>Module Name - Code</w:t>
            </w:r>
          </w:p>
        </w:tc>
        <w:tc>
          <w:tcPr>
            <w:tcW w:w="11481" w:type="dxa"/>
            <w:gridSpan w:val="3"/>
          </w:tcPr>
          <w:p w:rsidR="00215DE5" w:rsidRPr="00862A4F" w:rsidRDefault="00CA7839" w:rsidP="00862A4F">
            <w:pPr>
              <w:spacing w:after="0" w:line="240" w:lineRule="auto"/>
              <w:rPr>
                <w:sz w:val="20"/>
                <w:szCs w:val="20"/>
              </w:rPr>
            </w:pPr>
            <w:r w:rsidRPr="00CA7839">
              <w:rPr>
                <w:sz w:val="20"/>
                <w:szCs w:val="20"/>
              </w:rPr>
              <w:t>Discrete Mathematics</w:t>
            </w:r>
            <w:r w:rsidR="007C0BC6" w:rsidRPr="00862A4F">
              <w:rPr>
                <w:sz w:val="20"/>
                <w:szCs w:val="20"/>
              </w:rPr>
              <w:t xml:space="preserve"> </w:t>
            </w:r>
            <w:r w:rsidR="00122B2F">
              <w:rPr>
                <w:sz w:val="20"/>
                <w:szCs w:val="20"/>
              </w:rPr>
              <w:t>–</w:t>
            </w:r>
            <w:r w:rsidR="007C0BC6" w:rsidRPr="00862A4F">
              <w:rPr>
                <w:sz w:val="20"/>
                <w:szCs w:val="20"/>
              </w:rPr>
              <w:t xml:space="preserve"> </w:t>
            </w:r>
            <w:r w:rsidRPr="00CA7839">
              <w:rPr>
                <w:sz w:val="20"/>
                <w:szCs w:val="20"/>
              </w:rPr>
              <w:t>5110</w:t>
            </w:r>
          </w:p>
        </w:tc>
      </w:tr>
      <w:tr w:rsidR="00215DE5" w:rsidRPr="00862A4F" w:rsidTr="00862A4F">
        <w:trPr>
          <w:trHeight w:val="280"/>
        </w:trPr>
        <w:tc>
          <w:tcPr>
            <w:tcW w:w="2235" w:type="dxa"/>
          </w:tcPr>
          <w:p w:rsidR="00215DE5" w:rsidRPr="00862A4F" w:rsidRDefault="00215DE5" w:rsidP="00862A4F">
            <w:pPr>
              <w:spacing w:after="0" w:line="240" w:lineRule="auto"/>
              <w:rPr>
                <w:b/>
                <w:bCs/>
                <w:sz w:val="20"/>
                <w:szCs w:val="20"/>
              </w:rPr>
            </w:pPr>
            <w:r w:rsidRPr="00862A4F">
              <w:rPr>
                <w:b/>
                <w:bCs/>
                <w:sz w:val="20"/>
                <w:szCs w:val="20"/>
              </w:rPr>
              <w:t>Module Language:</w:t>
            </w:r>
          </w:p>
        </w:tc>
        <w:tc>
          <w:tcPr>
            <w:tcW w:w="11481" w:type="dxa"/>
            <w:gridSpan w:val="3"/>
          </w:tcPr>
          <w:p w:rsidR="00215DE5" w:rsidRPr="00862A4F" w:rsidRDefault="007C0BC6" w:rsidP="00862A4F">
            <w:pPr>
              <w:spacing w:after="0" w:line="240" w:lineRule="auto"/>
              <w:rPr>
                <w:sz w:val="20"/>
                <w:szCs w:val="20"/>
              </w:rPr>
            </w:pPr>
            <w:r w:rsidRPr="00862A4F">
              <w:rPr>
                <w:sz w:val="20"/>
                <w:szCs w:val="20"/>
              </w:rPr>
              <w:t>English</w:t>
            </w:r>
          </w:p>
        </w:tc>
      </w:tr>
      <w:tr w:rsidR="00215DE5" w:rsidRPr="00862A4F" w:rsidTr="00862A4F">
        <w:trPr>
          <w:trHeight w:val="285"/>
        </w:trPr>
        <w:tc>
          <w:tcPr>
            <w:tcW w:w="2235" w:type="dxa"/>
          </w:tcPr>
          <w:p w:rsidR="00215DE5" w:rsidRPr="00862A4F" w:rsidRDefault="00215DE5" w:rsidP="00862A4F">
            <w:pPr>
              <w:spacing w:after="0" w:line="240" w:lineRule="auto"/>
              <w:rPr>
                <w:b/>
                <w:bCs/>
                <w:sz w:val="20"/>
                <w:szCs w:val="20"/>
              </w:rPr>
            </w:pPr>
            <w:r w:rsidRPr="00862A4F">
              <w:rPr>
                <w:b/>
                <w:bCs/>
                <w:sz w:val="20"/>
                <w:szCs w:val="20"/>
              </w:rPr>
              <w:t>Responsible:</w:t>
            </w:r>
          </w:p>
        </w:tc>
        <w:tc>
          <w:tcPr>
            <w:tcW w:w="11481" w:type="dxa"/>
            <w:gridSpan w:val="3"/>
          </w:tcPr>
          <w:p w:rsidR="00215DE5" w:rsidRPr="00862A4F" w:rsidRDefault="00CA7839" w:rsidP="00862A4F">
            <w:pPr>
              <w:spacing w:after="0" w:line="240" w:lineRule="auto"/>
              <w:rPr>
                <w:sz w:val="20"/>
                <w:szCs w:val="20"/>
              </w:rPr>
            </w:pPr>
            <w:r>
              <w:rPr>
                <w:sz w:val="20"/>
                <w:szCs w:val="20"/>
              </w:rPr>
              <w:t>Lecturer Salar Jamal Abdulhameed Atroshi</w:t>
            </w:r>
          </w:p>
        </w:tc>
      </w:tr>
      <w:tr w:rsidR="00215DE5" w:rsidRPr="00862A4F" w:rsidTr="00862A4F">
        <w:trPr>
          <w:trHeight w:val="686"/>
        </w:trPr>
        <w:tc>
          <w:tcPr>
            <w:tcW w:w="2235" w:type="dxa"/>
          </w:tcPr>
          <w:p w:rsidR="00215DE5" w:rsidRPr="00862A4F" w:rsidRDefault="00215DE5" w:rsidP="00862A4F">
            <w:pPr>
              <w:spacing w:after="0" w:line="240" w:lineRule="auto"/>
              <w:rPr>
                <w:b/>
                <w:bCs/>
                <w:sz w:val="20"/>
                <w:szCs w:val="20"/>
              </w:rPr>
            </w:pPr>
            <w:r w:rsidRPr="00862A4F">
              <w:rPr>
                <w:b/>
                <w:bCs/>
                <w:sz w:val="20"/>
                <w:szCs w:val="20"/>
              </w:rPr>
              <w:t>Lecture (s):</w:t>
            </w:r>
          </w:p>
        </w:tc>
        <w:tc>
          <w:tcPr>
            <w:tcW w:w="11481" w:type="dxa"/>
            <w:gridSpan w:val="3"/>
          </w:tcPr>
          <w:p w:rsidR="007C0BC6" w:rsidRPr="00862A4F" w:rsidRDefault="007C0BC6" w:rsidP="00862A4F">
            <w:pPr>
              <w:spacing w:after="0" w:line="240" w:lineRule="auto"/>
              <w:rPr>
                <w:sz w:val="20"/>
                <w:szCs w:val="20"/>
              </w:rPr>
            </w:pPr>
          </w:p>
        </w:tc>
      </w:tr>
      <w:tr w:rsidR="00215DE5" w:rsidRPr="00862A4F" w:rsidTr="00862A4F">
        <w:trPr>
          <w:trHeight w:val="285"/>
        </w:trPr>
        <w:tc>
          <w:tcPr>
            <w:tcW w:w="2235" w:type="dxa"/>
          </w:tcPr>
          <w:p w:rsidR="00215DE5" w:rsidRPr="00862A4F" w:rsidRDefault="00215DE5" w:rsidP="00862A4F">
            <w:pPr>
              <w:spacing w:after="0" w:line="240" w:lineRule="auto"/>
              <w:rPr>
                <w:b/>
                <w:bCs/>
                <w:sz w:val="20"/>
                <w:szCs w:val="20"/>
              </w:rPr>
            </w:pPr>
            <w:r w:rsidRPr="00862A4F">
              <w:rPr>
                <w:b/>
                <w:bCs/>
                <w:sz w:val="20"/>
                <w:szCs w:val="20"/>
              </w:rPr>
              <w:t>College:</w:t>
            </w:r>
          </w:p>
        </w:tc>
        <w:tc>
          <w:tcPr>
            <w:tcW w:w="11481" w:type="dxa"/>
            <w:gridSpan w:val="3"/>
          </w:tcPr>
          <w:p w:rsidR="00215DE5" w:rsidRPr="00862A4F" w:rsidRDefault="007C0BC6" w:rsidP="00862A4F">
            <w:pPr>
              <w:spacing w:after="0" w:line="240" w:lineRule="auto"/>
              <w:rPr>
                <w:sz w:val="20"/>
                <w:szCs w:val="20"/>
              </w:rPr>
            </w:pPr>
            <w:r w:rsidRPr="00862A4F">
              <w:rPr>
                <w:sz w:val="20"/>
                <w:szCs w:val="20"/>
              </w:rPr>
              <w:t>College of Engineering – Salahaddin University</w:t>
            </w:r>
            <w:r w:rsidR="00D4134F">
              <w:rPr>
                <w:sz w:val="20"/>
                <w:szCs w:val="20"/>
              </w:rPr>
              <w:t>-Erbil</w:t>
            </w:r>
          </w:p>
        </w:tc>
      </w:tr>
      <w:tr w:rsidR="00215DE5" w:rsidRPr="00862A4F" w:rsidTr="00862A4F">
        <w:trPr>
          <w:trHeight w:val="277"/>
        </w:trPr>
        <w:tc>
          <w:tcPr>
            <w:tcW w:w="2235" w:type="dxa"/>
          </w:tcPr>
          <w:p w:rsidR="00215DE5" w:rsidRPr="00862A4F" w:rsidRDefault="00215DE5" w:rsidP="00862A4F">
            <w:pPr>
              <w:spacing w:after="0" w:line="240" w:lineRule="auto"/>
              <w:rPr>
                <w:b/>
                <w:bCs/>
                <w:sz w:val="20"/>
                <w:szCs w:val="20"/>
              </w:rPr>
            </w:pPr>
            <w:r w:rsidRPr="00862A4F">
              <w:rPr>
                <w:b/>
                <w:bCs/>
                <w:sz w:val="20"/>
                <w:szCs w:val="20"/>
              </w:rPr>
              <w:t>Duration:</w:t>
            </w:r>
          </w:p>
        </w:tc>
        <w:tc>
          <w:tcPr>
            <w:tcW w:w="11481" w:type="dxa"/>
            <w:gridSpan w:val="3"/>
          </w:tcPr>
          <w:p w:rsidR="00215DE5" w:rsidRPr="00862A4F" w:rsidRDefault="007C0BC6" w:rsidP="00862A4F">
            <w:pPr>
              <w:spacing w:after="0" w:line="240" w:lineRule="auto"/>
              <w:rPr>
                <w:sz w:val="20"/>
                <w:szCs w:val="20"/>
              </w:rPr>
            </w:pPr>
            <w:r w:rsidRPr="00862A4F">
              <w:rPr>
                <w:sz w:val="20"/>
                <w:szCs w:val="20"/>
              </w:rPr>
              <w:t>15 week</w:t>
            </w:r>
            <w:r w:rsidR="00C26C86" w:rsidRPr="00862A4F">
              <w:rPr>
                <w:sz w:val="20"/>
                <w:szCs w:val="20"/>
              </w:rPr>
              <w:t xml:space="preserve"> – 1 semester</w:t>
            </w:r>
          </w:p>
        </w:tc>
      </w:tr>
      <w:tr w:rsidR="00215DE5" w:rsidRPr="00862A4F" w:rsidTr="00862A4F">
        <w:trPr>
          <w:trHeight w:val="830"/>
        </w:trPr>
        <w:tc>
          <w:tcPr>
            <w:tcW w:w="2235" w:type="dxa"/>
          </w:tcPr>
          <w:p w:rsidR="00215DE5" w:rsidRPr="00862A4F" w:rsidRDefault="00215DE5" w:rsidP="00862A4F">
            <w:pPr>
              <w:spacing w:after="0" w:line="240" w:lineRule="auto"/>
              <w:rPr>
                <w:b/>
                <w:bCs/>
                <w:sz w:val="20"/>
                <w:szCs w:val="20"/>
              </w:rPr>
            </w:pPr>
            <w:r w:rsidRPr="00862A4F">
              <w:rPr>
                <w:b/>
                <w:bCs/>
                <w:sz w:val="20"/>
                <w:szCs w:val="20"/>
              </w:rPr>
              <w:t xml:space="preserve">Course </w:t>
            </w:r>
            <w:r w:rsidR="00C26C86" w:rsidRPr="00862A4F">
              <w:rPr>
                <w:b/>
                <w:bCs/>
                <w:sz w:val="20"/>
                <w:szCs w:val="20"/>
              </w:rPr>
              <w:t>outcomes</w:t>
            </w:r>
            <w:r w:rsidRPr="00862A4F">
              <w:rPr>
                <w:b/>
                <w:bCs/>
                <w:sz w:val="20"/>
                <w:szCs w:val="20"/>
              </w:rPr>
              <w:t>:</w:t>
            </w:r>
          </w:p>
        </w:tc>
        <w:tc>
          <w:tcPr>
            <w:tcW w:w="11481" w:type="dxa"/>
            <w:gridSpan w:val="3"/>
          </w:tcPr>
          <w:p w:rsidR="00EE3FDF" w:rsidRPr="00EE3FDF" w:rsidRDefault="00EE3FDF" w:rsidP="00EE3FDF">
            <w:pPr>
              <w:autoSpaceDE w:val="0"/>
              <w:autoSpaceDN w:val="0"/>
              <w:adjustRightInd w:val="0"/>
              <w:spacing w:after="0" w:line="360" w:lineRule="auto"/>
              <w:jc w:val="both"/>
              <w:rPr>
                <w:rFonts w:cs="Times New Roman"/>
                <w:bCs/>
                <w:sz w:val="20"/>
                <w:szCs w:val="20"/>
                <w:lang w:eastAsia="en-GB"/>
              </w:rPr>
            </w:pPr>
            <w:r w:rsidRPr="00EE3FDF">
              <w:rPr>
                <w:rFonts w:cs="Times New Roman"/>
                <w:bCs/>
                <w:sz w:val="20"/>
                <w:szCs w:val="20"/>
                <w:lang w:eastAsia="en-GB"/>
              </w:rPr>
              <w:t>At the end of this course, students will be able to:</w:t>
            </w:r>
          </w:p>
          <w:p w:rsidR="00EE3FDF" w:rsidRPr="00EE3FDF" w:rsidRDefault="00EE3FDF" w:rsidP="00EE3FDF">
            <w:pPr>
              <w:numPr>
                <w:ilvl w:val="0"/>
                <w:numId w:val="4"/>
              </w:numPr>
              <w:autoSpaceDE w:val="0"/>
              <w:autoSpaceDN w:val="0"/>
              <w:adjustRightInd w:val="0"/>
              <w:spacing w:after="0" w:line="360" w:lineRule="auto"/>
              <w:jc w:val="both"/>
              <w:rPr>
                <w:rFonts w:cs="Times New Roman"/>
                <w:sz w:val="20"/>
                <w:szCs w:val="20"/>
              </w:rPr>
            </w:pPr>
            <w:r w:rsidRPr="00EE3FDF">
              <w:rPr>
                <w:rFonts w:cs="Times New Roman"/>
                <w:sz w:val="20"/>
                <w:szCs w:val="20"/>
              </w:rPr>
              <w:t>Identify proper models for discrete phenomena.</w:t>
            </w:r>
          </w:p>
          <w:p w:rsidR="00EE3FDF" w:rsidRPr="00EE3FDF" w:rsidRDefault="00EE3FDF" w:rsidP="00EE3FDF">
            <w:pPr>
              <w:numPr>
                <w:ilvl w:val="0"/>
                <w:numId w:val="4"/>
              </w:numPr>
              <w:autoSpaceDE w:val="0"/>
              <w:autoSpaceDN w:val="0"/>
              <w:adjustRightInd w:val="0"/>
              <w:spacing w:after="0" w:line="360" w:lineRule="auto"/>
              <w:jc w:val="both"/>
              <w:rPr>
                <w:rFonts w:cs="Times New Roman"/>
                <w:sz w:val="20"/>
                <w:szCs w:val="20"/>
              </w:rPr>
            </w:pPr>
            <w:r w:rsidRPr="00EE3FDF">
              <w:rPr>
                <w:rFonts w:cs="Times New Roman"/>
                <w:sz w:val="20"/>
                <w:szCs w:val="20"/>
              </w:rPr>
              <w:t>Recognize and construct logical arguments and proofs.</w:t>
            </w:r>
          </w:p>
          <w:p w:rsidR="00EE3FDF" w:rsidRPr="00EE3FDF" w:rsidRDefault="00EE3FDF" w:rsidP="00EE3FDF">
            <w:pPr>
              <w:numPr>
                <w:ilvl w:val="0"/>
                <w:numId w:val="4"/>
              </w:numPr>
              <w:autoSpaceDE w:val="0"/>
              <w:autoSpaceDN w:val="0"/>
              <w:adjustRightInd w:val="0"/>
              <w:spacing w:after="0" w:line="360" w:lineRule="auto"/>
              <w:jc w:val="both"/>
              <w:rPr>
                <w:rFonts w:cs="Times New Roman"/>
                <w:sz w:val="20"/>
                <w:szCs w:val="20"/>
              </w:rPr>
            </w:pPr>
            <w:r w:rsidRPr="00EE3FDF">
              <w:rPr>
                <w:rFonts w:cs="Times New Roman"/>
                <w:sz w:val="20"/>
                <w:szCs w:val="20"/>
              </w:rPr>
              <w:t>Solve enumeration problems.</w:t>
            </w:r>
          </w:p>
          <w:p w:rsidR="00EE3FDF" w:rsidRPr="00EE3FDF" w:rsidRDefault="00EE3FDF" w:rsidP="00EE3FDF">
            <w:pPr>
              <w:numPr>
                <w:ilvl w:val="0"/>
                <w:numId w:val="4"/>
              </w:numPr>
              <w:autoSpaceDE w:val="0"/>
              <w:autoSpaceDN w:val="0"/>
              <w:adjustRightInd w:val="0"/>
              <w:spacing w:after="0" w:line="360" w:lineRule="auto"/>
              <w:jc w:val="both"/>
              <w:rPr>
                <w:rFonts w:cs="Times New Roman"/>
                <w:sz w:val="24"/>
                <w:szCs w:val="24"/>
              </w:rPr>
            </w:pPr>
            <w:r w:rsidRPr="00EE3FDF">
              <w:rPr>
                <w:rFonts w:cs="Times New Roman"/>
                <w:sz w:val="20"/>
                <w:szCs w:val="20"/>
              </w:rPr>
              <w:t>Distinguish the properties of graph models.</w:t>
            </w:r>
          </w:p>
        </w:tc>
      </w:tr>
      <w:tr w:rsidR="00215DE5" w:rsidRPr="00862A4F" w:rsidTr="00862A4F">
        <w:trPr>
          <w:trHeight w:val="1133"/>
        </w:trPr>
        <w:tc>
          <w:tcPr>
            <w:tcW w:w="2235" w:type="dxa"/>
          </w:tcPr>
          <w:p w:rsidR="00215DE5" w:rsidRPr="00862A4F" w:rsidRDefault="00215DE5" w:rsidP="00862A4F">
            <w:pPr>
              <w:spacing w:after="0" w:line="240" w:lineRule="auto"/>
              <w:rPr>
                <w:b/>
                <w:bCs/>
                <w:sz w:val="20"/>
                <w:szCs w:val="20"/>
              </w:rPr>
            </w:pPr>
            <w:r w:rsidRPr="00862A4F">
              <w:rPr>
                <w:b/>
                <w:bCs/>
                <w:sz w:val="20"/>
                <w:szCs w:val="20"/>
              </w:rPr>
              <w:t>Course Content:</w:t>
            </w:r>
          </w:p>
        </w:tc>
        <w:tc>
          <w:tcPr>
            <w:tcW w:w="11481" w:type="dxa"/>
            <w:gridSpan w:val="3"/>
          </w:tcPr>
          <w:p w:rsidR="00122B2F" w:rsidRPr="00122B2F" w:rsidRDefault="00122B2F" w:rsidP="00D4134F">
            <w:pPr>
              <w:autoSpaceDE w:val="0"/>
              <w:autoSpaceDN w:val="0"/>
              <w:adjustRightInd w:val="0"/>
              <w:spacing w:after="0" w:line="360" w:lineRule="auto"/>
              <w:jc w:val="both"/>
              <w:rPr>
                <w:rFonts w:cs="Times New Roman"/>
                <w:sz w:val="20"/>
                <w:szCs w:val="20"/>
              </w:rPr>
            </w:pPr>
            <w:r>
              <w:rPr>
                <w:rFonts w:cs="Times New Roman"/>
                <w:sz w:val="20"/>
                <w:szCs w:val="20"/>
                <w:lang w:eastAsia="en-GB"/>
              </w:rPr>
              <w:t xml:space="preserve"> </w:t>
            </w:r>
            <w:r w:rsidRPr="00122B2F">
              <w:rPr>
                <w:rFonts w:cs="Times New Roman"/>
                <w:sz w:val="20"/>
                <w:szCs w:val="20"/>
                <w:lang w:eastAsia="en-GB"/>
              </w:rPr>
              <w:t>Discrete Mathematics is a mandatory requirement for a BSc in Software</w:t>
            </w:r>
            <w:r w:rsidR="00D4134F">
              <w:rPr>
                <w:rFonts w:cs="Times New Roman"/>
                <w:sz w:val="20"/>
                <w:szCs w:val="20"/>
                <w:lang w:eastAsia="en-GB"/>
              </w:rPr>
              <w:t xml:space="preserve"> </w:t>
            </w:r>
            <w:r w:rsidRPr="00122B2F">
              <w:rPr>
                <w:rFonts w:cs="Times New Roman"/>
                <w:sz w:val="20"/>
                <w:szCs w:val="20"/>
                <w:lang w:eastAsia="en-GB"/>
              </w:rPr>
              <w:t xml:space="preserve">Engineering. This course is an introduction to the mathematical study of discrete objects. In it, you will learn how to construct proofs, as well as read and write formal mathematics. </w:t>
            </w:r>
            <w:r w:rsidRPr="00122B2F">
              <w:rPr>
                <w:rFonts w:cs="Times New Roman"/>
                <w:sz w:val="20"/>
                <w:szCs w:val="20"/>
              </w:rPr>
              <w:t>The course covers Logic Statements and Proposition Algebra, Sets Theory and their operations, Relations and their Types, Functions, Graphs and their Types, Number theory and Prime number, Trees and Formal Language and Machines.</w:t>
            </w:r>
          </w:p>
          <w:p w:rsidR="00215DE5" w:rsidRPr="00862A4F" w:rsidRDefault="00122B2F" w:rsidP="00122B2F">
            <w:pPr>
              <w:spacing w:after="0" w:line="360" w:lineRule="auto"/>
              <w:jc w:val="both"/>
              <w:rPr>
                <w:sz w:val="20"/>
                <w:szCs w:val="20"/>
              </w:rPr>
            </w:pPr>
            <w:r w:rsidRPr="00122B2F">
              <w:rPr>
                <w:rFonts w:cs="Times New Roman"/>
                <w:sz w:val="20"/>
                <w:szCs w:val="20"/>
              </w:rPr>
              <w:t>Discrete Mathematics provides the mathematical foundations for many computer science and Software Engineering courses including Data Structures and Algorithms, Computational Theory, Compilers, Operating Systems, Database Systems, Data Security,  to name a few. You will find these courses much more difficult if you attempt them without the foundations of discrete Mathematics.</w:t>
            </w:r>
          </w:p>
        </w:tc>
      </w:tr>
      <w:tr w:rsidR="00215DE5" w:rsidRPr="00862A4F" w:rsidTr="00862A4F">
        <w:trPr>
          <w:trHeight w:val="277"/>
        </w:trPr>
        <w:tc>
          <w:tcPr>
            <w:tcW w:w="2235" w:type="dxa"/>
          </w:tcPr>
          <w:p w:rsidR="00215DE5" w:rsidRPr="00862A4F" w:rsidRDefault="00215DE5" w:rsidP="00862A4F">
            <w:pPr>
              <w:spacing w:after="0" w:line="240" w:lineRule="auto"/>
              <w:rPr>
                <w:b/>
                <w:bCs/>
                <w:sz w:val="20"/>
                <w:szCs w:val="20"/>
              </w:rPr>
            </w:pPr>
            <w:r w:rsidRPr="00862A4F">
              <w:rPr>
                <w:b/>
                <w:bCs/>
                <w:sz w:val="20"/>
                <w:szCs w:val="20"/>
              </w:rPr>
              <w:t>Literature:</w:t>
            </w:r>
          </w:p>
        </w:tc>
        <w:tc>
          <w:tcPr>
            <w:tcW w:w="11481" w:type="dxa"/>
            <w:gridSpan w:val="3"/>
          </w:tcPr>
          <w:p w:rsidR="00122B2F" w:rsidRPr="00122B2F" w:rsidRDefault="00122B2F" w:rsidP="00122B2F">
            <w:pPr>
              <w:numPr>
                <w:ilvl w:val="0"/>
                <w:numId w:val="5"/>
              </w:numPr>
              <w:spacing w:line="360" w:lineRule="auto"/>
              <w:jc w:val="both"/>
              <w:rPr>
                <w:rFonts w:cs="Times New Roman"/>
                <w:sz w:val="20"/>
                <w:szCs w:val="20"/>
              </w:rPr>
            </w:pPr>
            <w:r w:rsidRPr="00122B2F">
              <w:rPr>
                <w:rFonts w:cs="Times New Roman"/>
                <w:sz w:val="20"/>
                <w:szCs w:val="20"/>
              </w:rPr>
              <w:t>“Discrete Mathematics and Its Applications 7</w:t>
            </w:r>
            <w:r w:rsidRPr="00122B2F">
              <w:rPr>
                <w:rFonts w:cs="Times New Roman"/>
                <w:sz w:val="20"/>
                <w:szCs w:val="20"/>
                <w:vertAlign w:val="superscript"/>
              </w:rPr>
              <w:t>th</w:t>
            </w:r>
            <w:r w:rsidRPr="00122B2F">
              <w:rPr>
                <w:rFonts w:cs="Times New Roman"/>
                <w:sz w:val="20"/>
                <w:szCs w:val="20"/>
              </w:rPr>
              <w:t xml:space="preserve"> Edition”, Kenneth H. Rosen, McGraw-Hill, 2012.</w:t>
            </w:r>
          </w:p>
          <w:p w:rsidR="00215DE5" w:rsidRPr="00122B2F" w:rsidRDefault="00122B2F" w:rsidP="00122B2F">
            <w:pPr>
              <w:numPr>
                <w:ilvl w:val="0"/>
                <w:numId w:val="5"/>
              </w:numPr>
              <w:spacing w:line="360" w:lineRule="auto"/>
              <w:jc w:val="both"/>
              <w:rPr>
                <w:rFonts w:cs="Times New Roman"/>
                <w:sz w:val="28"/>
                <w:szCs w:val="28"/>
              </w:rPr>
            </w:pPr>
            <w:r w:rsidRPr="00122B2F">
              <w:rPr>
                <w:rFonts w:cs="Times New Roman"/>
                <w:sz w:val="20"/>
                <w:szCs w:val="20"/>
              </w:rPr>
              <w:t>“Discrete Mathematics with Graph Theory 3</w:t>
            </w:r>
            <w:r w:rsidRPr="00122B2F">
              <w:rPr>
                <w:rFonts w:cs="Times New Roman"/>
                <w:sz w:val="20"/>
                <w:szCs w:val="20"/>
                <w:vertAlign w:val="superscript"/>
              </w:rPr>
              <w:t>rd</w:t>
            </w:r>
            <w:r w:rsidRPr="00122B2F">
              <w:rPr>
                <w:rFonts w:cs="Times New Roman"/>
                <w:sz w:val="20"/>
                <w:szCs w:val="20"/>
              </w:rPr>
              <w:t xml:space="preserve"> Edition”, Edgar G. Goodaire and Michael M. Parmenter, 2006.</w:t>
            </w:r>
          </w:p>
        </w:tc>
      </w:tr>
      <w:tr w:rsidR="00215DE5" w:rsidRPr="00862A4F" w:rsidTr="00862A4F">
        <w:trPr>
          <w:trHeight w:val="490"/>
        </w:trPr>
        <w:tc>
          <w:tcPr>
            <w:tcW w:w="2235" w:type="dxa"/>
          </w:tcPr>
          <w:p w:rsidR="00215DE5" w:rsidRPr="00862A4F" w:rsidRDefault="00215DE5" w:rsidP="00862A4F">
            <w:pPr>
              <w:spacing w:after="0" w:line="240" w:lineRule="auto"/>
              <w:rPr>
                <w:b/>
                <w:bCs/>
                <w:sz w:val="20"/>
                <w:szCs w:val="20"/>
              </w:rPr>
            </w:pPr>
            <w:r w:rsidRPr="00862A4F">
              <w:rPr>
                <w:b/>
                <w:bCs/>
                <w:sz w:val="20"/>
                <w:szCs w:val="20"/>
              </w:rPr>
              <w:t>Type of Teaching:</w:t>
            </w:r>
          </w:p>
        </w:tc>
        <w:tc>
          <w:tcPr>
            <w:tcW w:w="11481" w:type="dxa"/>
            <w:gridSpan w:val="3"/>
          </w:tcPr>
          <w:p w:rsidR="00444945" w:rsidRPr="00862A4F" w:rsidRDefault="00122B2F" w:rsidP="00122B2F">
            <w:pPr>
              <w:spacing w:after="0" w:line="240" w:lineRule="auto"/>
              <w:rPr>
                <w:sz w:val="20"/>
                <w:szCs w:val="20"/>
              </w:rPr>
            </w:pPr>
            <w:r>
              <w:rPr>
                <w:sz w:val="20"/>
                <w:szCs w:val="20"/>
              </w:rPr>
              <w:t>4</w:t>
            </w:r>
            <w:r w:rsidR="00962440" w:rsidRPr="00862A4F">
              <w:rPr>
                <w:sz w:val="20"/>
                <w:szCs w:val="20"/>
              </w:rPr>
              <w:t xml:space="preserve"> h</w:t>
            </w:r>
            <w:r w:rsidR="0061726F">
              <w:rPr>
                <w:sz w:val="20"/>
                <w:szCs w:val="20"/>
              </w:rPr>
              <w:t>ou</w:t>
            </w:r>
            <w:r w:rsidR="00962440" w:rsidRPr="00862A4F">
              <w:rPr>
                <w:sz w:val="20"/>
                <w:szCs w:val="20"/>
              </w:rPr>
              <w:t>rs</w:t>
            </w:r>
            <w:r w:rsidR="0061726F">
              <w:rPr>
                <w:sz w:val="20"/>
                <w:szCs w:val="20"/>
              </w:rPr>
              <w:t xml:space="preserve">/week </w:t>
            </w:r>
            <w:r w:rsidR="00962440" w:rsidRPr="00862A4F">
              <w:rPr>
                <w:sz w:val="20"/>
                <w:szCs w:val="20"/>
              </w:rPr>
              <w:t xml:space="preserve"> in lectures </w:t>
            </w:r>
          </w:p>
        </w:tc>
      </w:tr>
      <w:tr w:rsidR="00215DE5" w:rsidRPr="00862A4F" w:rsidTr="00862A4F">
        <w:trPr>
          <w:trHeight w:val="284"/>
        </w:trPr>
        <w:tc>
          <w:tcPr>
            <w:tcW w:w="2235" w:type="dxa"/>
          </w:tcPr>
          <w:p w:rsidR="00215DE5" w:rsidRPr="00862A4F" w:rsidRDefault="00215DE5" w:rsidP="00862A4F">
            <w:pPr>
              <w:spacing w:after="0" w:line="240" w:lineRule="auto"/>
              <w:rPr>
                <w:b/>
                <w:bCs/>
                <w:sz w:val="20"/>
                <w:szCs w:val="20"/>
              </w:rPr>
            </w:pPr>
            <w:r w:rsidRPr="00862A4F">
              <w:rPr>
                <w:b/>
                <w:bCs/>
                <w:sz w:val="20"/>
                <w:szCs w:val="20"/>
              </w:rPr>
              <w:t>Pre-</w:t>
            </w:r>
            <w:r w:rsidR="00D834D0" w:rsidRPr="00862A4F">
              <w:rPr>
                <w:b/>
                <w:bCs/>
                <w:sz w:val="20"/>
                <w:szCs w:val="20"/>
              </w:rPr>
              <w:t>requisites</w:t>
            </w:r>
            <w:r w:rsidRPr="00862A4F">
              <w:rPr>
                <w:b/>
                <w:bCs/>
                <w:sz w:val="20"/>
                <w:szCs w:val="20"/>
              </w:rPr>
              <w:t>:</w:t>
            </w:r>
          </w:p>
        </w:tc>
        <w:tc>
          <w:tcPr>
            <w:tcW w:w="11481" w:type="dxa"/>
            <w:gridSpan w:val="3"/>
          </w:tcPr>
          <w:p w:rsidR="00215DE5" w:rsidRPr="00862A4F" w:rsidRDefault="00215DE5" w:rsidP="00862A4F">
            <w:pPr>
              <w:spacing w:after="0" w:line="240" w:lineRule="auto"/>
              <w:rPr>
                <w:sz w:val="20"/>
                <w:szCs w:val="20"/>
              </w:rPr>
            </w:pPr>
          </w:p>
        </w:tc>
      </w:tr>
      <w:tr w:rsidR="00215DE5" w:rsidRPr="00862A4F" w:rsidTr="00862A4F">
        <w:trPr>
          <w:trHeight w:val="262"/>
        </w:trPr>
        <w:tc>
          <w:tcPr>
            <w:tcW w:w="2235" w:type="dxa"/>
          </w:tcPr>
          <w:p w:rsidR="00215DE5" w:rsidRPr="00862A4F" w:rsidRDefault="00D834D0" w:rsidP="00862A4F">
            <w:pPr>
              <w:spacing w:after="0" w:line="240" w:lineRule="auto"/>
              <w:rPr>
                <w:b/>
                <w:bCs/>
                <w:sz w:val="20"/>
                <w:szCs w:val="20"/>
              </w:rPr>
            </w:pPr>
            <w:r w:rsidRPr="00862A4F">
              <w:rPr>
                <w:b/>
                <w:bCs/>
                <w:sz w:val="20"/>
                <w:szCs w:val="20"/>
              </w:rPr>
              <w:t>Frequency:</w:t>
            </w:r>
          </w:p>
        </w:tc>
        <w:tc>
          <w:tcPr>
            <w:tcW w:w="11481" w:type="dxa"/>
            <w:gridSpan w:val="3"/>
          </w:tcPr>
          <w:p w:rsidR="00215DE5" w:rsidRPr="00D4134F" w:rsidRDefault="00C26C86" w:rsidP="00813F71">
            <w:pPr>
              <w:spacing w:after="0" w:line="240" w:lineRule="auto"/>
              <w:rPr>
                <w:color w:val="C00000"/>
                <w:sz w:val="20"/>
                <w:szCs w:val="20"/>
              </w:rPr>
            </w:pPr>
            <w:r w:rsidRPr="00813F71">
              <w:rPr>
                <w:sz w:val="20"/>
                <w:szCs w:val="20"/>
              </w:rPr>
              <w:t xml:space="preserve">Yearly in </w:t>
            </w:r>
            <w:r w:rsidR="00813F71" w:rsidRPr="00813F71">
              <w:rPr>
                <w:sz w:val="20"/>
                <w:szCs w:val="20"/>
              </w:rPr>
              <w:t>spring</w:t>
            </w:r>
            <w:r w:rsidRPr="00813F71">
              <w:rPr>
                <w:sz w:val="20"/>
                <w:szCs w:val="20"/>
              </w:rPr>
              <w:t xml:space="preserve"> semester</w:t>
            </w:r>
          </w:p>
        </w:tc>
      </w:tr>
      <w:tr w:rsidR="00215DE5" w:rsidRPr="00862A4F" w:rsidTr="00862A4F">
        <w:trPr>
          <w:trHeight w:val="840"/>
        </w:trPr>
        <w:tc>
          <w:tcPr>
            <w:tcW w:w="2235" w:type="dxa"/>
          </w:tcPr>
          <w:p w:rsidR="00215DE5" w:rsidRPr="00862A4F" w:rsidRDefault="00D834D0" w:rsidP="00862A4F">
            <w:pPr>
              <w:spacing w:after="0" w:line="240" w:lineRule="auto"/>
              <w:rPr>
                <w:b/>
                <w:bCs/>
                <w:sz w:val="20"/>
                <w:szCs w:val="20"/>
              </w:rPr>
            </w:pPr>
            <w:r w:rsidRPr="00862A4F">
              <w:rPr>
                <w:b/>
                <w:bCs/>
                <w:sz w:val="20"/>
                <w:szCs w:val="20"/>
              </w:rPr>
              <w:t>Requirements for  credit points:</w:t>
            </w:r>
          </w:p>
        </w:tc>
        <w:tc>
          <w:tcPr>
            <w:tcW w:w="11481" w:type="dxa"/>
            <w:gridSpan w:val="3"/>
          </w:tcPr>
          <w:p w:rsidR="00A72070" w:rsidRPr="00A72070" w:rsidRDefault="00A72070" w:rsidP="00A72070">
            <w:pPr>
              <w:spacing w:after="0" w:line="360" w:lineRule="auto"/>
              <w:jc w:val="both"/>
              <w:rPr>
                <w:rFonts w:cs="Times New Roman"/>
                <w:sz w:val="20"/>
                <w:szCs w:val="20"/>
              </w:rPr>
            </w:pPr>
            <w:r w:rsidRPr="00A72070">
              <w:rPr>
                <w:rFonts w:cs="Times New Roman"/>
                <w:sz w:val="20"/>
                <w:szCs w:val="20"/>
              </w:rPr>
              <w:t>For the award of credit points, it is necessary to pass the module exam. It contains:</w:t>
            </w:r>
          </w:p>
          <w:p w:rsidR="00A72070" w:rsidRPr="00A72070" w:rsidRDefault="00A72070" w:rsidP="00A72070">
            <w:pPr>
              <w:spacing w:after="0" w:line="360" w:lineRule="auto"/>
              <w:jc w:val="both"/>
              <w:rPr>
                <w:rFonts w:cs="Times New Roman"/>
                <w:sz w:val="20"/>
                <w:szCs w:val="20"/>
              </w:rPr>
            </w:pPr>
            <w:r w:rsidRPr="00A72070">
              <w:rPr>
                <w:rFonts w:cs="Times New Roman"/>
                <w:sz w:val="20"/>
                <w:szCs w:val="20"/>
              </w:rPr>
              <w:t>Three examinations during the academic semester, Assignments, Report, Seminar and Final examination.</w:t>
            </w:r>
          </w:p>
          <w:p w:rsidR="00F848B1" w:rsidRPr="00A72070" w:rsidRDefault="00A72070" w:rsidP="00A72070">
            <w:pPr>
              <w:spacing w:after="0" w:line="360" w:lineRule="auto"/>
              <w:jc w:val="both"/>
              <w:rPr>
                <w:b/>
                <w:bCs/>
                <w:color w:val="C00000"/>
                <w:sz w:val="20"/>
                <w:szCs w:val="20"/>
              </w:rPr>
            </w:pPr>
            <w:r w:rsidRPr="00A72070">
              <w:rPr>
                <w:rFonts w:cs="Times New Roman"/>
                <w:b/>
                <w:bCs/>
                <w:sz w:val="20"/>
                <w:szCs w:val="20"/>
              </w:rPr>
              <w:t>Student's attendance is required in all classes.</w:t>
            </w:r>
          </w:p>
        </w:tc>
      </w:tr>
      <w:tr w:rsidR="00215DE5" w:rsidRPr="00862A4F" w:rsidTr="00862A4F">
        <w:trPr>
          <w:trHeight w:val="270"/>
        </w:trPr>
        <w:tc>
          <w:tcPr>
            <w:tcW w:w="2235" w:type="dxa"/>
          </w:tcPr>
          <w:p w:rsidR="00215DE5" w:rsidRPr="00862A4F" w:rsidRDefault="00D834D0" w:rsidP="00862A4F">
            <w:pPr>
              <w:spacing w:after="0" w:line="240" w:lineRule="auto"/>
              <w:rPr>
                <w:b/>
                <w:bCs/>
                <w:sz w:val="20"/>
                <w:szCs w:val="20"/>
              </w:rPr>
            </w:pPr>
            <w:r w:rsidRPr="00862A4F">
              <w:rPr>
                <w:b/>
                <w:bCs/>
                <w:sz w:val="20"/>
                <w:szCs w:val="20"/>
              </w:rPr>
              <w:t>Credit point:</w:t>
            </w:r>
          </w:p>
        </w:tc>
        <w:tc>
          <w:tcPr>
            <w:tcW w:w="11481" w:type="dxa"/>
            <w:gridSpan w:val="3"/>
          </w:tcPr>
          <w:p w:rsidR="00215DE5" w:rsidRPr="00862A4F" w:rsidRDefault="0061726F" w:rsidP="00862A4F">
            <w:pPr>
              <w:spacing w:after="0" w:line="240" w:lineRule="auto"/>
              <w:rPr>
                <w:sz w:val="20"/>
                <w:szCs w:val="20"/>
              </w:rPr>
            </w:pPr>
            <w:r>
              <w:rPr>
                <w:sz w:val="20"/>
                <w:szCs w:val="20"/>
              </w:rPr>
              <w:t>5</w:t>
            </w:r>
          </w:p>
        </w:tc>
      </w:tr>
      <w:tr w:rsidR="00215DE5" w:rsidRPr="00862A4F" w:rsidTr="00862A4F">
        <w:trPr>
          <w:trHeight w:val="842"/>
        </w:trPr>
        <w:tc>
          <w:tcPr>
            <w:tcW w:w="2235" w:type="dxa"/>
          </w:tcPr>
          <w:p w:rsidR="00215DE5" w:rsidRPr="00862A4F" w:rsidRDefault="00D834D0" w:rsidP="00862A4F">
            <w:pPr>
              <w:spacing w:after="0" w:line="240" w:lineRule="auto"/>
              <w:rPr>
                <w:b/>
                <w:bCs/>
                <w:sz w:val="20"/>
                <w:szCs w:val="20"/>
              </w:rPr>
            </w:pPr>
            <w:r w:rsidRPr="00862A4F">
              <w:rPr>
                <w:b/>
                <w:bCs/>
                <w:sz w:val="20"/>
                <w:szCs w:val="20"/>
              </w:rPr>
              <w:lastRenderedPageBreak/>
              <w:t>Grade Distribution:</w:t>
            </w:r>
          </w:p>
        </w:tc>
        <w:tc>
          <w:tcPr>
            <w:tcW w:w="11481" w:type="dxa"/>
            <w:gridSpan w:val="3"/>
          </w:tcPr>
          <w:p w:rsidR="00A72070" w:rsidRPr="00A72070" w:rsidRDefault="00A72070" w:rsidP="00A72070">
            <w:pPr>
              <w:spacing w:after="0" w:line="360" w:lineRule="auto"/>
              <w:jc w:val="both"/>
              <w:rPr>
                <w:rFonts w:cs="Times New Roman"/>
                <w:sz w:val="20"/>
                <w:szCs w:val="20"/>
              </w:rPr>
            </w:pPr>
            <w:r w:rsidRPr="00A72070">
              <w:rPr>
                <w:rFonts w:cs="Times New Roman"/>
                <w:sz w:val="20"/>
                <w:szCs w:val="20"/>
              </w:rPr>
              <w:t>The following grade system is used for the evaluation of the module exam: </w:t>
            </w:r>
          </w:p>
          <w:p w:rsidR="00A72070" w:rsidRPr="00A72070" w:rsidRDefault="00A72070" w:rsidP="00A72070">
            <w:pPr>
              <w:spacing w:after="0" w:line="360" w:lineRule="auto"/>
              <w:jc w:val="both"/>
              <w:rPr>
                <w:rFonts w:cs="Times New Roman"/>
                <w:sz w:val="20"/>
                <w:szCs w:val="20"/>
              </w:rPr>
            </w:pPr>
            <w:r w:rsidRPr="00A72070">
              <w:rPr>
                <w:rFonts w:cs="Times New Roman"/>
                <w:sz w:val="20"/>
                <w:szCs w:val="20"/>
              </w:rPr>
              <w:t>The module exam is based on the summation of two categories of evaluations:</w:t>
            </w:r>
          </w:p>
          <w:p w:rsidR="00A72070" w:rsidRPr="00A72070" w:rsidRDefault="00A72070" w:rsidP="00A72070">
            <w:pPr>
              <w:spacing w:after="0" w:line="360" w:lineRule="auto"/>
              <w:jc w:val="both"/>
              <w:rPr>
                <w:rFonts w:cs="Times New Roman"/>
                <w:sz w:val="20"/>
                <w:szCs w:val="20"/>
              </w:rPr>
            </w:pPr>
            <w:r w:rsidRPr="00A72070">
              <w:rPr>
                <w:rFonts w:cs="Times New Roman"/>
                <w:b/>
                <w:bCs/>
                <w:sz w:val="20"/>
                <w:szCs w:val="20"/>
              </w:rPr>
              <w:t>First: (40%) </w:t>
            </w:r>
            <w:r w:rsidRPr="00A72070">
              <w:rPr>
                <w:rFonts w:cs="Times New Roman"/>
                <w:sz w:val="20"/>
                <w:szCs w:val="20"/>
              </w:rPr>
              <w:t>of the mark is based on the academic semester effort which includes </w:t>
            </w:r>
          </w:p>
          <w:p w:rsidR="00A72070" w:rsidRPr="00A72070" w:rsidRDefault="00A72070" w:rsidP="00A72070">
            <w:pPr>
              <w:spacing w:after="0" w:line="360" w:lineRule="auto"/>
              <w:jc w:val="both"/>
              <w:rPr>
                <w:rFonts w:cs="Times New Roman"/>
                <w:sz w:val="20"/>
                <w:szCs w:val="20"/>
              </w:rPr>
            </w:pPr>
            <w:r w:rsidRPr="00A72070">
              <w:rPr>
                <w:rFonts w:cs="Times New Roman"/>
                <w:sz w:val="20"/>
                <w:szCs w:val="20"/>
              </w:rPr>
              <w:t>-           Three examinations during the academic semester = 24%.</w:t>
            </w:r>
          </w:p>
          <w:p w:rsidR="00A72070" w:rsidRPr="00A72070" w:rsidRDefault="00A72070" w:rsidP="00A72070">
            <w:pPr>
              <w:spacing w:after="0" w:line="360" w:lineRule="auto"/>
              <w:jc w:val="both"/>
              <w:rPr>
                <w:rFonts w:cs="Times New Roman"/>
                <w:sz w:val="20"/>
                <w:szCs w:val="20"/>
              </w:rPr>
            </w:pPr>
            <w:r w:rsidRPr="00A72070">
              <w:rPr>
                <w:rFonts w:cs="Times New Roman"/>
                <w:sz w:val="20"/>
                <w:szCs w:val="20"/>
              </w:rPr>
              <w:t>-           Assignments = (6%).</w:t>
            </w:r>
          </w:p>
          <w:p w:rsidR="00A72070" w:rsidRPr="00A72070" w:rsidRDefault="00A72070" w:rsidP="00A72070">
            <w:pPr>
              <w:spacing w:after="0" w:line="360" w:lineRule="auto"/>
              <w:jc w:val="both"/>
              <w:rPr>
                <w:rFonts w:cs="Times New Roman"/>
                <w:sz w:val="20"/>
                <w:szCs w:val="20"/>
              </w:rPr>
            </w:pPr>
            <w:r w:rsidRPr="00A72070">
              <w:rPr>
                <w:rFonts w:cs="Times New Roman"/>
                <w:sz w:val="20"/>
                <w:szCs w:val="20"/>
              </w:rPr>
              <w:t>-           Report and Seminar = (10%).</w:t>
            </w:r>
          </w:p>
          <w:p w:rsidR="00215DE5" w:rsidRPr="00A72070" w:rsidRDefault="00A72070" w:rsidP="00A72070">
            <w:pPr>
              <w:spacing w:after="0" w:line="360" w:lineRule="auto"/>
              <w:rPr>
                <w:rFonts w:cs="Times New Roman"/>
                <w:sz w:val="20"/>
                <w:szCs w:val="20"/>
              </w:rPr>
            </w:pPr>
            <w:r w:rsidRPr="00A72070">
              <w:rPr>
                <w:rFonts w:cs="Times New Roman"/>
                <w:b/>
                <w:bCs/>
                <w:sz w:val="20"/>
                <w:szCs w:val="20"/>
              </w:rPr>
              <w:t>Second: (60%)</w:t>
            </w:r>
            <w:r w:rsidRPr="00A72070">
              <w:rPr>
                <w:rFonts w:cs="Times New Roman"/>
                <w:sz w:val="20"/>
                <w:szCs w:val="20"/>
              </w:rPr>
              <w:t> of the mark is based on final examination that is comprehensive for the whole of the study materials reviewed during the academic semester.</w:t>
            </w:r>
          </w:p>
        </w:tc>
      </w:tr>
      <w:tr w:rsidR="00215DE5" w:rsidRPr="00862A4F" w:rsidTr="00862A4F">
        <w:trPr>
          <w:trHeight w:val="567"/>
        </w:trPr>
        <w:tc>
          <w:tcPr>
            <w:tcW w:w="2235" w:type="dxa"/>
          </w:tcPr>
          <w:p w:rsidR="00215DE5" w:rsidRPr="00862A4F" w:rsidRDefault="00D834D0" w:rsidP="00862A4F">
            <w:pPr>
              <w:spacing w:after="0" w:line="240" w:lineRule="auto"/>
              <w:rPr>
                <w:b/>
                <w:bCs/>
                <w:sz w:val="20"/>
                <w:szCs w:val="20"/>
              </w:rPr>
            </w:pPr>
            <w:r w:rsidRPr="00862A4F">
              <w:rPr>
                <w:b/>
                <w:bCs/>
                <w:sz w:val="20"/>
                <w:szCs w:val="20"/>
              </w:rPr>
              <w:t>Work load:</w:t>
            </w:r>
          </w:p>
        </w:tc>
        <w:tc>
          <w:tcPr>
            <w:tcW w:w="11481" w:type="dxa"/>
            <w:gridSpan w:val="3"/>
          </w:tcPr>
          <w:p w:rsidR="00215DE5" w:rsidRPr="00862A4F" w:rsidRDefault="00A72070" w:rsidP="00A72070">
            <w:pPr>
              <w:spacing w:after="0" w:line="360" w:lineRule="auto"/>
              <w:jc w:val="both"/>
              <w:rPr>
                <w:sz w:val="20"/>
                <w:szCs w:val="20"/>
              </w:rPr>
            </w:pPr>
            <w:r w:rsidRPr="00A72070">
              <w:rPr>
                <w:rFonts w:cs="Times New Roman"/>
                <w:sz w:val="20"/>
                <w:szCs w:val="20"/>
              </w:rPr>
              <w:t>The workload is 150 hrs. It is the result of 60 hrs. attendance and 90 hrs. self-studies (Assignments, preparation for exam and applications).</w:t>
            </w:r>
          </w:p>
        </w:tc>
      </w:tr>
    </w:tbl>
    <w:p w:rsidR="005D2793" w:rsidRDefault="00B47075">
      <w:pPr>
        <w:rPr>
          <w:sz w:val="20"/>
          <w:szCs w:val="20"/>
        </w:rPr>
      </w:pPr>
      <w:r>
        <w:rPr>
          <w:sz w:val="20"/>
          <w:szCs w:val="20"/>
        </w:rPr>
        <w:t xml:space="preserve"> </w:t>
      </w:r>
    </w:p>
    <w:sectPr w:rsidR="005D2793" w:rsidSect="008726FE">
      <w:footerReference w:type="default" r:id="rId8"/>
      <w:pgSz w:w="15840" w:h="12240" w:orient="landscape"/>
      <w:pgMar w:top="568" w:right="1948" w:bottom="295" w:left="1134" w:header="720" w:footer="2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407F" w:rsidRDefault="004E407F" w:rsidP="00BA555B">
      <w:pPr>
        <w:spacing w:after="0" w:line="240" w:lineRule="auto"/>
      </w:pPr>
      <w:r>
        <w:separator/>
      </w:r>
    </w:p>
  </w:endnote>
  <w:endnote w:type="continuationSeparator" w:id="0">
    <w:p w:rsidR="004E407F" w:rsidRDefault="004E407F" w:rsidP="00BA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892" w:rsidRDefault="00B815B2" w:rsidP="00EF031F">
    <w:pPr>
      <w:pStyle w:val="Footer"/>
      <w:jc w:val="right"/>
    </w:pPr>
    <w:r>
      <w:fldChar w:fldCharType="begin"/>
    </w:r>
    <w:r w:rsidR="000D433A">
      <w:instrText xml:space="preserve"> PAGE   \* MERGEFORMAT </w:instrText>
    </w:r>
    <w:r>
      <w:fldChar w:fldCharType="separate"/>
    </w:r>
    <w:r w:rsidR="00C256DC">
      <w:rPr>
        <w:noProof/>
      </w:rPr>
      <w:t>1</w:t>
    </w:r>
    <w:r>
      <w:rPr>
        <w:noProof/>
      </w:rPr>
      <w:fldChar w:fldCharType="end"/>
    </w:r>
  </w:p>
  <w:p w:rsidR="000B1892" w:rsidRDefault="000B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407F" w:rsidRDefault="004E407F" w:rsidP="00BA555B">
      <w:pPr>
        <w:spacing w:after="0" w:line="240" w:lineRule="auto"/>
      </w:pPr>
      <w:r>
        <w:separator/>
      </w:r>
    </w:p>
  </w:footnote>
  <w:footnote w:type="continuationSeparator" w:id="0">
    <w:p w:rsidR="004E407F" w:rsidRDefault="004E407F" w:rsidP="00BA5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5CA"/>
    <w:multiLevelType w:val="hybridMultilevel"/>
    <w:tmpl w:val="9856A950"/>
    <w:lvl w:ilvl="0" w:tplc="0CE8795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62C48"/>
    <w:multiLevelType w:val="hybridMultilevel"/>
    <w:tmpl w:val="553EB6F2"/>
    <w:lvl w:ilvl="0" w:tplc="F4F61B5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C0BE8"/>
    <w:multiLevelType w:val="hybridMultilevel"/>
    <w:tmpl w:val="9CF6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D5125"/>
    <w:multiLevelType w:val="hybridMultilevel"/>
    <w:tmpl w:val="C60EC502"/>
    <w:lvl w:ilvl="0" w:tplc="27A401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82C1F"/>
    <w:multiLevelType w:val="hybridMultilevel"/>
    <w:tmpl w:val="1AE425CA"/>
    <w:lvl w:ilvl="0" w:tplc="35124C0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120914">
    <w:abstractNumId w:val="2"/>
  </w:num>
  <w:num w:numId="2" w16cid:durableId="303244031">
    <w:abstractNumId w:val="3"/>
  </w:num>
  <w:num w:numId="3" w16cid:durableId="906963426">
    <w:abstractNumId w:val="0"/>
  </w:num>
  <w:num w:numId="4" w16cid:durableId="1771312243">
    <w:abstractNumId w:val="4"/>
  </w:num>
  <w:num w:numId="5" w16cid:durableId="1377005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24C"/>
    <w:rsid w:val="000027D6"/>
    <w:rsid w:val="00033E45"/>
    <w:rsid w:val="00060EDF"/>
    <w:rsid w:val="00082507"/>
    <w:rsid w:val="000A1C82"/>
    <w:rsid w:val="000A2646"/>
    <w:rsid w:val="000A7A0B"/>
    <w:rsid w:val="000B1892"/>
    <w:rsid w:val="000D0A8E"/>
    <w:rsid w:val="000D433A"/>
    <w:rsid w:val="000F539D"/>
    <w:rsid w:val="00115868"/>
    <w:rsid w:val="00122B2F"/>
    <w:rsid w:val="0013277D"/>
    <w:rsid w:val="00136490"/>
    <w:rsid w:val="00146202"/>
    <w:rsid w:val="0015543B"/>
    <w:rsid w:val="00190FE1"/>
    <w:rsid w:val="00194E13"/>
    <w:rsid w:val="001A3B4C"/>
    <w:rsid w:val="001B39AF"/>
    <w:rsid w:val="001B69DF"/>
    <w:rsid w:val="001C55FE"/>
    <w:rsid w:val="001E5B66"/>
    <w:rsid w:val="001E64CA"/>
    <w:rsid w:val="001E7681"/>
    <w:rsid w:val="001F43B4"/>
    <w:rsid w:val="00203165"/>
    <w:rsid w:val="0020356F"/>
    <w:rsid w:val="00207620"/>
    <w:rsid w:val="00215780"/>
    <w:rsid w:val="00215DE5"/>
    <w:rsid w:val="002203C4"/>
    <w:rsid w:val="00236C5F"/>
    <w:rsid w:val="00245FC3"/>
    <w:rsid w:val="002526E3"/>
    <w:rsid w:val="00255807"/>
    <w:rsid w:val="0026361B"/>
    <w:rsid w:val="00270117"/>
    <w:rsid w:val="00295D35"/>
    <w:rsid w:val="00296579"/>
    <w:rsid w:val="002969EC"/>
    <w:rsid w:val="002B798C"/>
    <w:rsid w:val="002D1582"/>
    <w:rsid w:val="002E26AF"/>
    <w:rsid w:val="002E61F8"/>
    <w:rsid w:val="002E6305"/>
    <w:rsid w:val="002F2218"/>
    <w:rsid w:val="002F486E"/>
    <w:rsid w:val="003308F0"/>
    <w:rsid w:val="00330FF8"/>
    <w:rsid w:val="003627FC"/>
    <w:rsid w:val="00377CE1"/>
    <w:rsid w:val="00382FEC"/>
    <w:rsid w:val="00397664"/>
    <w:rsid w:val="003A2A99"/>
    <w:rsid w:val="003B5871"/>
    <w:rsid w:val="003C2DDB"/>
    <w:rsid w:val="003D3C94"/>
    <w:rsid w:val="0040130E"/>
    <w:rsid w:val="00415B23"/>
    <w:rsid w:val="004235B7"/>
    <w:rsid w:val="004368A6"/>
    <w:rsid w:val="00437C15"/>
    <w:rsid w:val="0044194E"/>
    <w:rsid w:val="00444698"/>
    <w:rsid w:val="00444945"/>
    <w:rsid w:val="00446DD2"/>
    <w:rsid w:val="004529BB"/>
    <w:rsid w:val="00452F56"/>
    <w:rsid w:val="00471FC1"/>
    <w:rsid w:val="0047248C"/>
    <w:rsid w:val="00473709"/>
    <w:rsid w:val="00484DAD"/>
    <w:rsid w:val="0048664F"/>
    <w:rsid w:val="00487AD5"/>
    <w:rsid w:val="00487AFB"/>
    <w:rsid w:val="004A2BB4"/>
    <w:rsid w:val="004D0597"/>
    <w:rsid w:val="004E407F"/>
    <w:rsid w:val="004F6363"/>
    <w:rsid w:val="005011B7"/>
    <w:rsid w:val="00512873"/>
    <w:rsid w:val="005235E2"/>
    <w:rsid w:val="0054061B"/>
    <w:rsid w:val="00545F2F"/>
    <w:rsid w:val="005527FE"/>
    <w:rsid w:val="005548E1"/>
    <w:rsid w:val="0056104E"/>
    <w:rsid w:val="005622DF"/>
    <w:rsid w:val="00567FDD"/>
    <w:rsid w:val="00573166"/>
    <w:rsid w:val="0058788D"/>
    <w:rsid w:val="00597AC2"/>
    <w:rsid w:val="005A3321"/>
    <w:rsid w:val="005A4822"/>
    <w:rsid w:val="005A7CAE"/>
    <w:rsid w:val="005C19CC"/>
    <w:rsid w:val="005D0179"/>
    <w:rsid w:val="005D2793"/>
    <w:rsid w:val="005D4901"/>
    <w:rsid w:val="005E430E"/>
    <w:rsid w:val="005E7C61"/>
    <w:rsid w:val="0061726F"/>
    <w:rsid w:val="00621E9A"/>
    <w:rsid w:val="00624811"/>
    <w:rsid w:val="00630986"/>
    <w:rsid w:val="00654BF0"/>
    <w:rsid w:val="006778F2"/>
    <w:rsid w:val="00686F9A"/>
    <w:rsid w:val="00696A25"/>
    <w:rsid w:val="006A1BD8"/>
    <w:rsid w:val="006E262E"/>
    <w:rsid w:val="006E5296"/>
    <w:rsid w:val="006F34B2"/>
    <w:rsid w:val="0071327E"/>
    <w:rsid w:val="00715373"/>
    <w:rsid w:val="007273F1"/>
    <w:rsid w:val="00731EB0"/>
    <w:rsid w:val="00744FF8"/>
    <w:rsid w:val="007605BA"/>
    <w:rsid w:val="007613A0"/>
    <w:rsid w:val="00777CA8"/>
    <w:rsid w:val="0078203C"/>
    <w:rsid w:val="0078783B"/>
    <w:rsid w:val="00792BD7"/>
    <w:rsid w:val="007B19B8"/>
    <w:rsid w:val="007C0BC6"/>
    <w:rsid w:val="007D2670"/>
    <w:rsid w:val="007D524D"/>
    <w:rsid w:val="007E3F01"/>
    <w:rsid w:val="00813F71"/>
    <w:rsid w:val="0081764E"/>
    <w:rsid w:val="008217F6"/>
    <w:rsid w:val="0085124C"/>
    <w:rsid w:val="00852F79"/>
    <w:rsid w:val="00862A4F"/>
    <w:rsid w:val="008726FE"/>
    <w:rsid w:val="00893F73"/>
    <w:rsid w:val="008A310C"/>
    <w:rsid w:val="008B4894"/>
    <w:rsid w:val="008C6BA9"/>
    <w:rsid w:val="008F253E"/>
    <w:rsid w:val="008F3618"/>
    <w:rsid w:val="0090163B"/>
    <w:rsid w:val="00903C18"/>
    <w:rsid w:val="009373E6"/>
    <w:rsid w:val="00962440"/>
    <w:rsid w:val="009640AC"/>
    <w:rsid w:val="009765E1"/>
    <w:rsid w:val="009928B9"/>
    <w:rsid w:val="00994D94"/>
    <w:rsid w:val="009C6D65"/>
    <w:rsid w:val="009D6E7A"/>
    <w:rsid w:val="00A044E8"/>
    <w:rsid w:val="00A07972"/>
    <w:rsid w:val="00A463F8"/>
    <w:rsid w:val="00A46AD9"/>
    <w:rsid w:val="00A5319C"/>
    <w:rsid w:val="00A542BD"/>
    <w:rsid w:val="00A62ED1"/>
    <w:rsid w:val="00A72070"/>
    <w:rsid w:val="00A82A11"/>
    <w:rsid w:val="00A872DF"/>
    <w:rsid w:val="00A94148"/>
    <w:rsid w:val="00AB2201"/>
    <w:rsid w:val="00AB798E"/>
    <w:rsid w:val="00AC4865"/>
    <w:rsid w:val="00AD36AD"/>
    <w:rsid w:val="00AE0A77"/>
    <w:rsid w:val="00B003A3"/>
    <w:rsid w:val="00B012D9"/>
    <w:rsid w:val="00B0738E"/>
    <w:rsid w:val="00B218DB"/>
    <w:rsid w:val="00B26130"/>
    <w:rsid w:val="00B47075"/>
    <w:rsid w:val="00B65CFE"/>
    <w:rsid w:val="00B815B2"/>
    <w:rsid w:val="00B94AC3"/>
    <w:rsid w:val="00BA555B"/>
    <w:rsid w:val="00BA5BF2"/>
    <w:rsid w:val="00BB5903"/>
    <w:rsid w:val="00BC448B"/>
    <w:rsid w:val="00BD3721"/>
    <w:rsid w:val="00BE415C"/>
    <w:rsid w:val="00BE417E"/>
    <w:rsid w:val="00BE6C41"/>
    <w:rsid w:val="00C002A0"/>
    <w:rsid w:val="00C05383"/>
    <w:rsid w:val="00C14918"/>
    <w:rsid w:val="00C16204"/>
    <w:rsid w:val="00C17D13"/>
    <w:rsid w:val="00C256DC"/>
    <w:rsid w:val="00C26C86"/>
    <w:rsid w:val="00C4740F"/>
    <w:rsid w:val="00C51EEF"/>
    <w:rsid w:val="00C5297F"/>
    <w:rsid w:val="00C54797"/>
    <w:rsid w:val="00C57ECF"/>
    <w:rsid w:val="00C61137"/>
    <w:rsid w:val="00C65C44"/>
    <w:rsid w:val="00C76EEC"/>
    <w:rsid w:val="00C80518"/>
    <w:rsid w:val="00C94A44"/>
    <w:rsid w:val="00CA6852"/>
    <w:rsid w:val="00CA7839"/>
    <w:rsid w:val="00D13A68"/>
    <w:rsid w:val="00D16A9F"/>
    <w:rsid w:val="00D4134F"/>
    <w:rsid w:val="00D43C97"/>
    <w:rsid w:val="00D5086C"/>
    <w:rsid w:val="00D51E31"/>
    <w:rsid w:val="00D63C24"/>
    <w:rsid w:val="00D63D09"/>
    <w:rsid w:val="00D72685"/>
    <w:rsid w:val="00D73147"/>
    <w:rsid w:val="00D834D0"/>
    <w:rsid w:val="00D902A4"/>
    <w:rsid w:val="00D945DA"/>
    <w:rsid w:val="00DA1AE2"/>
    <w:rsid w:val="00DA6260"/>
    <w:rsid w:val="00DA6478"/>
    <w:rsid w:val="00DC1C15"/>
    <w:rsid w:val="00DD251C"/>
    <w:rsid w:val="00DF0628"/>
    <w:rsid w:val="00DF3BBE"/>
    <w:rsid w:val="00E041D4"/>
    <w:rsid w:val="00E23EAA"/>
    <w:rsid w:val="00E52FC0"/>
    <w:rsid w:val="00E53EAB"/>
    <w:rsid w:val="00E648F5"/>
    <w:rsid w:val="00E7527D"/>
    <w:rsid w:val="00E768C9"/>
    <w:rsid w:val="00E81E29"/>
    <w:rsid w:val="00EA7A71"/>
    <w:rsid w:val="00EC21B3"/>
    <w:rsid w:val="00ED2208"/>
    <w:rsid w:val="00EE3FDF"/>
    <w:rsid w:val="00EE518A"/>
    <w:rsid w:val="00EF031F"/>
    <w:rsid w:val="00EF0959"/>
    <w:rsid w:val="00F07024"/>
    <w:rsid w:val="00F161E5"/>
    <w:rsid w:val="00F521E3"/>
    <w:rsid w:val="00F610DD"/>
    <w:rsid w:val="00F81075"/>
    <w:rsid w:val="00F848B1"/>
    <w:rsid w:val="00F92051"/>
    <w:rsid w:val="00FA351D"/>
    <w:rsid w:val="00FC3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F1F4C"/>
  <w15:docId w15:val="{77508945-205B-4DEE-A35A-2E829F54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FB"/>
    <w:pPr>
      <w:spacing w:after="200" w:line="276" w:lineRule="auto"/>
    </w:pPr>
    <w:rPr>
      <w:sz w:val="22"/>
      <w:szCs w:val="22"/>
    </w:rPr>
  </w:style>
  <w:style w:type="paragraph" w:styleId="Heading2">
    <w:name w:val="heading 2"/>
    <w:basedOn w:val="Normal"/>
    <w:link w:val="Heading2Char"/>
    <w:uiPriority w:val="9"/>
    <w:qFormat/>
    <w:rsid w:val="005548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5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54797"/>
    <w:rPr>
      <w:i/>
      <w:iCs/>
    </w:rPr>
  </w:style>
  <w:style w:type="character" w:styleId="Hyperlink">
    <w:name w:val="Hyperlink"/>
    <w:basedOn w:val="DefaultParagraphFont"/>
    <w:uiPriority w:val="99"/>
    <w:unhideWhenUsed/>
    <w:rsid w:val="00397664"/>
    <w:rPr>
      <w:color w:val="0000FF"/>
      <w:u w:val="single"/>
    </w:rPr>
  </w:style>
  <w:style w:type="paragraph" w:styleId="ListParagraph">
    <w:name w:val="List Paragraph"/>
    <w:basedOn w:val="Normal"/>
    <w:uiPriority w:val="34"/>
    <w:qFormat/>
    <w:rsid w:val="0081764E"/>
    <w:pPr>
      <w:ind w:left="720"/>
      <w:contextualSpacing/>
    </w:pPr>
  </w:style>
  <w:style w:type="paragraph" w:styleId="Header">
    <w:name w:val="header"/>
    <w:basedOn w:val="Normal"/>
    <w:link w:val="HeaderChar"/>
    <w:uiPriority w:val="99"/>
    <w:unhideWhenUsed/>
    <w:rsid w:val="00BA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55B"/>
  </w:style>
  <w:style w:type="paragraph" w:styleId="Footer">
    <w:name w:val="footer"/>
    <w:basedOn w:val="Normal"/>
    <w:link w:val="FooterChar"/>
    <w:uiPriority w:val="99"/>
    <w:unhideWhenUsed/>
    <w:rsid w:val="00BA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55B"/>
  </w:style>
  <w:style w:type="paragraph" w:styleId="BalloonText">
    <w:name w:val="Balloon Text"/>
    <w:basedOn w:val="Normal"/>
    <w:link w:val="BalloonTextChar"/>
    <w:uiPriority w:val="99"/>
    <w:semiHidden/>
    <w:unhideWhenUsed/>
    <w:rsid w:val="005A3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321"/>
    <w:rPr>
      <w:rFonts w:ascii="Segoe UI" w:hAnsi="Segoe UI" w:cs="Segoe UI"/>
      <w:sz w:val="18"/>
      <w:szCs w:val="18"/>
    </w:rPr>
  </w:style>
  <w:style w:type="character" w:customStyle="1" w:styleId="Heading2Char">
    <w:name w:val="Heading 2 Char"/>
    <w:basedOn w:val="DefaultParagraphFont"/>
    <w:link w:val="Heading2"/>
    <w:uiPriority w:val="9"/>
    <w:rsid w:val="005548E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5666">
      <w:bodyDiv w:val="1"/>
      <w:marLeft w:val="0"/>
      <w:marRight w:val="0"/>
      <w:marTop w:val="0"/>
      <w:marBottom w:val="0"/>
      <w:divBdr>
        <w:top w:val="none" w:sz="0" w:space="0" w:color="auto"/>
        <w:left w:val="none" w:sz="0" w:space="0" w:color="auto"/>
        <w:bottom w:val="none" w:sz="0" w:space="0" w:color="auto"/>
        <w:right w:val="none" w:sz="0" w:space="0" w:color="auto"/>
      </w:divBdr>
    </w:div>
    <w:div w:id="136845567">
      <w:bodyDiv w:val="1"/>
      <w:marLeft w:val="0"/>
      <w:marRight w:val="0"/>
      <w:marTop w:val="0"/>
      <w:marBottom w:val="0"/>
      <w:divBdr>
        <w:top w:val="none" w:sz="0" w:space="0" w:color="auto"/>
        <w:left w:val="none" w:sz="0" w:space="0" w:color="auto"/>
        <w:bottom w:val="none" w:sz="0" w:space="0" w:color="auto"/>
        <w:right w:val="none" w:sz="0" w:space="0" w:color="auto"/>
      </w:divBdr>
    </w:div>
    <w:div w:id="144200216">
      <w:bodyDiv w:val="1"/>
      <w:marLeft w:val="0"/>
      <w:marRight w:val="0"/>
      <w:marTop w:val="0"/>
      <w:marBottom w:val="0"/>
      <w:divBdr>
        <w:top w:val="none" w:sz="0" w:space="0" w:color="auto"/>
        <w:left w:val="none" w:sz="0" w:space="0" w:color="auto"/>
        <w:bottom w:val="none" w:sz="0" w:space="0" w:color="auto"/>
        <w:right w:val="none" w:sz="0" w:space="0" w:color="auto"/>
      </w:divBdr>
    </w:div>
    <w:div w:id="534007207">
      <w:bodyDiv w:val="1"/>
      <w:marLeft w:val="0"/>
      <w:marRight w:val="0"/>
      <w:marTop w:val="0"/>
      <w:marBottom w:val="0"/>
      <w:divBdr>
        <w:top w:val="none" w:sz="0" w:space="0" w:color="auto"/>
        <w:left w:val="none" w:sz="0" w:space="0" w:color="auto"/>
        <w:bottom w:val="none" w:sz="0" w:space="0" w:color="auto"/>
        <w:right w:val="none" w:sz="0" w:space="0" w:color="auto"/>
      </w:divBdr>
    </w:div>
    <w:div w:id="546988536">
      <w:bodyDiv w:val="1"/>
      <w:marLeft w:val="0"/>
      <w:marRight w:val="0"/>
      <w:marTop w:val="0"/>
      <w:marBottom w:val="0"/>
      <w:divBdr>
        <w:top w:val="none" w:sz="0" w:space="0" w:color="auto"/>
        <w:left w:val="none" w:sz="0" w:space="0" w:color="auto"/>
        <w:bottom w:val="none" w:sz="0" w:space="0" w:color="auto"/>
        <w:right w:val="none" w:sz="0" w:space="0" w:color="auto"/>
      </w:divBdr>
    </w:div>
    <w:div w:id="620653134">
      <w:bodyDiv w:val="1"/>
      <w:marLeft w:val="0"/>
      <w:marRight w:val="0"/>
      <w:marTop w:val="0"/>
      <w:marBottom w:val="0"/>
      <w:divBdr>
        <w:top w:val="none" w:sz="0" w:space="0" w:color="auto"/>
        <w:left w:val="none" w:sz="0" w:space="0" w:color="auto"/>
        <w:bottom w:val="none" w:sz="0" w:space="0" w:color="auto"/>
        <w:right w:val="none" w:sz="0" w:space="0" w:color="auto"/>
      </w:divBdr>
    </w:div>
    <w:div w:id="876509551">
      <w:bodyDiv w:val="1"/>
      <w:marLeft w:val="0"/>
      <w:marRight w:val="0"/>
      <w:marTop w:val="0"/>
      <w:marBottom w:val="0"/>
      <w:divBdr>
        <w:top w:val="none" w:sz="0" w:space="0" w:color="auto"/>
        <w:left w:val="none" w:sz="0" w:space="0" w:color="auto"/>
        <w:bottom w:val="none" w:sz="0" w:space="0" w:color="auto"/>
        <w:right w:val="none" w:sz="0" w:space="0" w:color="auto"/>
      </w:divBdr>
    </w:div>
    <w:div w:id="973603402">
      <w:bodyDiv w:val="1"/>
      <w:marLeft w:val="0"/>
      <w:marRight w:val="0"/>
      <w:marTop w:val="0"/>
      <w:marBottom w:val="0"/>
      <w:divBdr>
        <w:top w:val="none" w:sz="0" w:space="0" w:color="auto"/>
        <w:left w:val="none" w:sz="0" w:space="0" w:color="auto"/>
        <w:bottom w:val="none" w:sz="0" w:space="0" w:color="auto"/>
        <w:right w:val="none" w:sz="0" w:space="0" w:color="auto"/>
      </w:divBdr>
    </w:div>
    <w:div w:id="1011948717">
      <w:bodyDiv w:val="1"/>
      <w:marLeft w:val="0"/>
      <w:marRight w:val="0"/>
      <w:marTop w:val="0"/>
      <w:marBottom w:val="0"/>
      <w:divBdr>
        <w:top w:val="none" w:sz="0" w:space="0" w:color="auto"/>
        <w:left w:val="none" w:sz="0" w:space="0" w:color="auto"/>
        <w:bottom w:val="none" w:sz="0" w:space="0" w:color="auto"/>
        <w:right w:val="none" w:sz="0" w:space="0" w:color="auto"/>
      </w:divBdr>
    </w:div>
    <w:div w:id="1108814565">
      <w:bodyDiv w:val="1"/>
      <w:marLeft w:val="0"/>
      <w:marRight w:val="0"/>
      <w:marTop w:val="0"/>
      <w:marBottom w:val="0"/>
      <w:divBdr>
        <w:top w:val="none" w:sz="0" w:space="0" w:color="auto"/>
        <w:left w:val="none" w:sz="0" w:space="0" w:color="auto"/>
        <w:bottom w:val="none" w:sz="0" w:space="0" w:color="auto"/>
        <w:right w:val="none" w:sz="0" w:space="0" w:color="auto"/>
      </w:divBdr>
    </w:div>
    <w:div w:id="1222868217">
      <w:bodyDiv w:val="1"/>
      <w:marLeft w:val="0"/>
      <w:marRight w:val="0"/>
      <w:marTop w:val="0"/>
      <w:marBottom w:val="0"/>
      <w:divBdr>
        <w:top w:val="none" w:sz="0" w:space="0" w:color="auto"/>
        <w:left w:val="none" w:sz="0" w:space="0" w:color="auto"/>
        <w:bottom w:val="none" w:sz="0" w:space="0" w:color="auto"/>
        <w:right w:val="none" w:sz="0" w:space="0" w:color="auto"/>
      </w:divBdr>
    </w:div>
    <w:div w:id="1230846627">
      <w:bodyDiv w:val="1"/>
      <w:marLeft w:val="0"/>
      <w:marRight w:val="0"/>
      <w:marTop w:val="0"/>
      <w:marBottom w:val="0"/>
      <w:divBdr>
        <w:top w:val="none" w:sz="0" w:space="0" w:color="auto"/>
        <w:left w:val="none" w:sz="0" w:space="0" w:color="auto"/>
        <w:bottom w:val="none" w:sz="0" w:space="0" w:color="auto"/>
        <w:right w:val="none" w:sz="0" w:space="0" w:color="auto"/>
      </w:divBdr>
    </w:div>
    <w:div w:id="1254313191">
      <w:bodyDiv w:val="1"/>
      <w:marLeft w:val="0"/>
      <w:marRight w:val="0"/>
      <w:marTop w:val="0"/>
      <w:marBottom w:val="0"/>
      <w:divBdr>
        <w:top w:val="none" w:sz="0" w:space="0" w:color="auto"/>
        <w:left w:val="none" w:sz="0" w:space="0" w:color="auto"/>
        <w:bottom w:val="none" w:sz="0" w:space="0" w:color="auto"/>
        <w:right w:val="none" w:sz="0" w:space="0" w:color="auto"/>
      </w:divBdr>
    </w:div>
    <w:div w:id="1389956789">
      <w:bodyDiv w:val="1"/>
      <w:marLeft w:val="0"/>
      <w:marRight w:val="0"/>
      <w:marTop w:val="0"/>
      <w:marBottom w:val="0"/>
      <w:divBdr>
        <w:top w:val="none" w:sz="0" w:space="0" w:color="auto"/>
        <w:left w:val="none" w:sz="0" w:space="0" w:color="auto"/>
        <w:bottom w:val="none" w:sz="0" w:space="0" w:color="auto"/>
        <w:right w:val="none" w:sz="0" w:space="0" w:color="auto"/>
      </w:divBdr>
    </w:div>
    <w:div w:id="1463966260">
      <w:bodyDiv w:val="1"/>
      <w:marLeft w:val="0"/>
      <w:marRight w:val="0"/>
      <w:marTop w:val="0"/>
      <w:marBottom w:val="0"/>
      <w:divBdr>
        <w:top w:val="none" w:sz="0" w:space="0" w:color="auto"/>
        <w:left w:val="none" w:sz="0" w:space="0" w:color="auto"/>
        <w:bottom w:val="none" w:sz="0" w:space="0" w:color="auto"/>
        <w:right w:val="none" w:sz="0" w:space="0" w:color="auto"/>
      </w:divBdr>
    </w:div>
    <w:div w:id="1586842574">
      <w:bodyDiv w:val="1"/>
      <w:marLeft w:val="0"/>
      <w:marRight w:val="0"/>
      <w:marTop w:val="0"/>
      <w:marBottom w:val="0"/>
      <w:divBdr>
        <w:top w:val="none" w:sz="0" w:space="0" w:color="auto"/>
        <w:left w:val="none" w:sz="0" w:space="0" w:color="auto"/>
        <w:bottom w:val="none" w:sz="0" w:space="0" w:color="auto"/>
        <w:right w:val="none" w:sz="0" w:space="0" w:color="auto"/>
      </w:divBdr>
    </w:div>
    <w:div w:id="1612468084">
      <w:bodyDiv w:val="1"/>
      <w:marLeft w:val="0"/>
      <w:marRight w:val="0"/>
      <w:marTop w:val="0"/>
      <w:marBottom w:val="0"/>
      <w:divBdr>
        <w:top w:val="none" w:sz="0" w:space="0" w:color="auto"/>
        <w:left w:val="none" w:sz="0" w:space="0" w:color="auto"/>
        <w:bottom w:val="none" w:sz="0" w:space="0" w:color="auto"/>
        <w:right w:val="none" w:sz="0" w:space="0" w:color="auto"/>
      </w:divBdr>
    </w:div>
    <w:div w:id="1627590289">
      <w:bodyDiv w:val="1"/>
      <w:marLeft w:val="0"/>
      <w:marRight w:val="0"/>
      <w:marTop w:val="0"/>
      <w:marBottom w:val="0"/>
      <w:divBdr>
        <w:top w:val="none" w:sz="0" w:space="0" w:color="auto"/>
        <w:left w:val="none" w:sz="0" w:space="0" w:color="auto"/>
        <w:bottom w:val="none" w:sz="0" w:space="0" w:color="auto"/>
        <w:right w:val="none" w:sz="0" w:space="0" w:color="auto"/>
      </w:divBdr>
    </w:div>
    <w:div w:id="1651904024">
      <w:bodyDiv w:val="1"/>
      <w:marLeft w:val="0"/>
      <w:marRight w:val="0"/>
      <w:marTop w:val="0"/>
      <w:marBottom w:val="0"/>
      <w:divBdr>
        <w:top w:val="none" w:sz="0" w:space="0" w:color="auto"/>
        <w:left w:val="none" w:sz="0" w:space="0" w:color="auto"/>
        <w:bottom w:val="none" w:sz="0" w:space="0" w:color="auto"/>
        <w:right w:val="none" w:sz="0" w:space="0" w:color="auto"/>
      </w:divBdr>
    </w:div>
    <w:div w:id="193797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AC13-9AAA-4D8D-B979-2E96F14E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404</Words>
  <Characters>2325</Characters>
  <Application>Microsoft Office Word</Application>
  <DocSecurity>0</DocSecurity>
  <Lines>61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cp:lastModifiedBy>Rana Layth Abdulazeez</cp:lastModifiedBy>
  <cp:revision>20</cp:revision>
  <cp:lastPrinted>2019-05-19T20:13:00Z</cp:lastPrinted>
  <dcterms:created xsi:type="dcterms:W3CDTF">2019-09-29T05:40:00Z</dcterms:created>
  <dcterms:modified xsi:type="dcterms:W3CDTF">2024-05-24T15:00:00Z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0b5916e66c84407e9dfba90acc367d6f94219ae9d4c44c2a9ec899a2c1fc7042</vt:lpwstr>
  </property>
</Properties>
</file>