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4" w:rsidRDefault="00D205B4"/>
    <w:p w:rsidR="00363DDA" w:rsidRDefault="00363DDA"/>
    <w:p w:rsidR="00363DDA" w:rsidRDefault="00363DDA"/>
    <w:p w:rsidR="00363DDA" w:rsidRPr="00363DDA" w:rsidRDefault="00363DDA" w:rsidP="00363DDA">
      <w:pPr>
        <w:jc w:val="center"/>
        <w:rPr>
          <w:b/>
          <w:bCs/>
          <w:sz w:val="24"/>
          <w:szCs w:val="24"/>
        </w:rPr>
      </w:pPr>
      <w:r w:rsidRPr="00363DDA">
        <w:rPr>
          <w:b/>
          <w:bCs/>
          <w:sz w:val="24"/>
          <w:szCs w:val="24"/>
        </w:rPr>
        <w:t xml:space="preserve">Effect of hump Transition on UP-Stream Free-Surface Elevation </w:t>
      </w:r>
      <w:r w:rsidR="00BC27E6">
        <w:rPr>
          <w:b/>
          <w:bCs/>
          <w:sz w:val="24"/>
          <w:szCs w:val="24"/>
        </w:rPr>
        <w:t xml:space="preserve">for Both Subcritical and Supercritical Flow Regime </w:t>
      </w:r>
      <w:r w:rsidRPr="00363DDA">
        <w:rPr>
          <w:b/>
          <w:bCs/>
          <w:sz w:val="24"/>
          <w:szCs w:val="24"/>
        </w:rPr>
        <w:t>using CFD</w:t>
      </w:r>
    </w:p>
    <w:p w:rsidR="00363DDA" w:rsidRPr="00363DDA" w:rsidRDefault="00363DDA" w:rsidP="00363DDA">
      <w:pPr>
        <w:jc w:val="center"/>
        <w:rPr>
          <w:b/>
          <w:bCs/>
          <w:sz w:val="20"/>
          <w:szCs w:val="20"/>
        </w:rPr>
      </w:pPr>
      <w:r w:rsidRPr="00363DDA">
        <w:rPr>
          <w:b/>
          <w:bCs/>
          <w:sz w:val="20"/>
          <w:szCs w:val="20"/>
        </w:rPr>
        <w:t xml:space="preserve">Hayder T. Abo </w:t>
      </w:r>
      <w:proofErr w:type="gramStart"/>
      <w:r w:rsidRPr="00363DDA">
        <w:rPr>
          <w:b/>
          <w:bCs/>
          <w:sz w:val="20"/>
          <w:szCs w:val="20"/>
        </w:rPr>
        <w:t>A.</w:t>
      </w:r>
      <w:proofErr w:type="gramEnd"/>
      <w:r w:rsidRPr="00363DDA">
        <w:rPr>
          <w:b/>
          <w:bCs/>
          <w:sz w:val="20"/>
          <w:szCs w:val="20"/>
        </w:rPr>
        <w:t xml:space="preserve"> A.</w:t>
      </w:r>
    </w:p>
    <w:p w:rsidR="00363DDA" w:rsidRDefault="00363DDA" w:rsidP="00363DDA">
      <w:pPr>
        <w:jc w:val="both"/>
        <w:rPr>
          <w:b/>
          <w:bCs/>
          <w:sz w:val="24"/>
          <w:szCs w:val="24"/>
        </w:rPr>
      </w:pPr>
      <w:r w:rsidRPr="00363DDA">
        <w:rPr>
          <w:b/>
          <w:bCs/>
          <w:sz w:val="24"/>
          <w:szCs w:val="24"/>
        </w:rPr>
        <w:t>ABSTRACT</w:t>
      </w:r>
    </w:p>
    <w:p w:rsidR="00CF5F4A" w:rsidRPr="00363DDA" w:rsidRDefault="00CF5F4A" w:rsidP="00CF5F4A">
      <w:p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CE29FC">
        <w:rPr>
          <w:sz w:val="24"/>
          <w:szCs w:val="24"/>
        </w:rPr>
        <w:t xml:space="preserve"> aim of this study is to compute the effect of hump height on upstream flow depth. </w:t>
      </w:r>
      <w:r>
        <w:rPr>
          <w:sz w:val="24"/>
          <w:szCs w:val="24"/>
        </w:rPr>
        <w:t>For</w:t>
      </w:r>
      <w:r w:rsidR="00CE29FC">
        <w:rPr>
          <w:sz w:val="24"/>
          <w:szCs w:val="24"/>
        </w:rPr>
        <w:t xml:space="preserve"> this purpose the computational fluid dynamics code FLOW3D was used. </w:t>
      </w:r>
      <w:r>
        <w:rPr>
          <w:sz w:val="24"/>
          <w:szCs w:val="24"/>
        </w:rPr>
        <w:t>Firstly</w:t>
      </w:r>
      <w:r w:rsidR="00CE29FC">
        <w:rPr>
          <w:sz w:val="24"/>
          <w:szCs w:val="24"/>
        </w:rPr>
        <w:t xml:space="preserve"> the code validated against experimental data of (bla bla). </w:t>
      </w:r>
      <w:r>
        <w:rPr>
          <w:sz w:val="24"/>
          <w:szCs w:val="24"/>
        </w:rPr>
        <w:t xml:space="preserve">Then two kind of flow subcritical and supercritical are arranged with different hump height.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results show that bla </w:t>
      </w:r>
      <w:proofErr w:type="spellStart"/>
      <w:r>
        <w:rPr>
          <w:sz w:val="24"/>
          <w:szCs w:val="24"/>
        </w:rPr>
        <w:t>bla</w:t>
      </w:r>
      <w:proofErr w:type="spellEnd"/>
      <w:r>
        <w:rPr>
          <w:sz w:val="24"/>
          <w:szCs w:val="24"/>
        </w:rPr>
        <w:t xml:space="preserve">. </w:t>
      </w:r>
    </w:p>
    <w:p w:rsidR="00363DDA" w:rsidRDefault="00363DDA" w:rsidP="00363DDA">
      <w:pPr>
        <w:jc w:val="both"/>
      </w:pPr>
    </w:p>
    <w:p w:rsidR="00363DDA" w:rsidRDefault="00363DDA"/>
    <w:p w:rsidR="00717B09" w:rsidRDefault="00717B09"/>
    <w:p w:rsidR="00363DDA" w:rsidRDefault="00780C90">
      <w:r>
        <w:rPr>
          <w:noProof/>
        </w:rPr>
        <w:drawing>
          <wp:inline distT="0" distB="0" distL="0" distR="0">
            <wp:extent cx="593407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B09" w:rsidRDefault="00717B09"/>
    <w:p w:rsidR="00717B09" w:rsidRDefault="00717B09"/>
    <w:p w:rsidR="00717B09" w:rsidRDefault="00717B09"/>
    <w:p w:rsidR="00717B09" w:rsidRDefault="00717B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847"/>
        <w:gridCol w:w="1341"/>
        <w:gridCol w:w="1341"/>
        <w:gridCol w:w="1966"/>
        <w:gridCol w:w="1959"/>
      </w:tblGrid>
      <w:tr w:rsidR="00CF5F4A" w:rsidTr="003C067F">
        <w:tc>
          <w:tcPr>
            <w:tcW w:w="1449" w:type="dxa"/>
            <w:vAlign w:val="center"/>
          </w:tcPr>
          <w:p w:rsidR="00CF5F4A" w:rsidRDefault="00CF5F4A" w:rsidP="00B00410">
            <w:pPr>
              <w:jc w:val="center"/>
            </w:pPr>
            <w:r>
              <w:t>cases</w:t>
            </w:r>
          </w:p>
        </w:tc>
        <w:tc>
          <w:tcPr>
            <w:tcW w:w="847" w:type="dxa"/>
            <w:vAlign w:val="center"/>
          </w:tcPr>
          <w:p w:rsidR="00CF5F4A" w:rsidRPr="00717B09" w:rsidRDefault="00CF5F4A" w:rsidP="00B00410">
            <w:pPr>
              <w:jc w:val="center"/>
            </w:pPr>
            <w:r>
              <w:t>y</w:t>
            </w:r>
            <w:r>
              <w:rPr>
                <w:vertAlign w:val="subscript"/>
              </w:rPr>
              <w:t xml:space="preserve">1  </w:t>
            </w:r>
            <w:r>
              <w:t>m</w:t>
            </w:r>
          </w:p>
        </w:tc>
        <w:tc>
          <w:tcPr>
            <w:tcW w:w="1341" w:type="dxa"/>
          </w:tcPr>
          <w:p w:rsidR="00CF5F4A" w:rsidRPr="00CF5F4A" w:rsidRDefault="00CF5F4A" w:rsidP="00B00410">
            <w:pPr>
              <w:jc w:val="center"/>
            </w:pPr>
            <w:r>
              <w:t>v</w:t>
            </w:r>
            <w:r>
              <w:rPr>
                <w:vertAlign w:val="subscript"/>
              </w:rPr>
              <w:t xml:space="preserve">1 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1341" w:type="dxa"/>
            <w:vAlign w:val="center"/>
          </w:tcPr>
          <w:p w:rsidR="00CF5F4A" w:rsidRPr="00B00410" w:rsidRDefault="00CF5F4A" w:rsidP="00B00410">
            <w:pPr>
              <w:jc w:val="center"/>
            </w:pPr>
            <w:r>
              <w:t>q m</w:t>
            </w:r>
            <w:r>
              <w:rPr>
                <w:vertAlign w:val="superscript"/>
              </w:rPr>
              <w:t>2</w:t>
            </w:r>
            <w:r>
              <w:t>/s</w:t>
            </w:r>
          </w:p>
        </w:tc>
        <w:tc>
          <w:tcPr>
            <w:tcW w:w="1966" w:type="dxa"/>
            <w:vAlign w:val="center"/>
          </w:tcPr>
          <w:p w:rsidR="00CF5F4A" w:rsidRPr="00B00410" w:rsidRDefault="00CF5F4A" w:rsidP="00B00410">
            <w:pPr>
              <w:jc w:val="center"/>
            </w:pPr>
            <w:r>
              <w:t>Critical depth (</w:t>
            </w:r>
            <w:proofErr w:type="spellStart"/>
            <w:r>
              <w:t>y</w:t>
            </w:r>
            <w:r>
              <w:rPr>
                <w:vertAlign w:val="subscript"/>
              </w:rPr>
              <w:t>c</w:t>
            </w:r>
            <w:proofErr w:type="spellEnd"/>
            <w:r>
              <w:t>)</w:t>
            </w:r>
            <w:r>
              <w:rPr>
                <w:vertAlign w:val="subscript"/>
              </w:rPr>
              <w:t xml:space="preserve"> </w:t>
            </w:r>
            <w:r>
              <w:t>m</w:t>
            </w: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Hump height  m</w:t>
            </w:r>
          </w:p>
        </w:tc>
      </w:tr>
      <w:tr w:rsidR="00CF5F4A" w:rsidTr="00CF5F4A">
        <w:tc>
          <w:tcPr>
            <w:tcW w:w="1449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subcritical</w:t>
            </w:r>
          </w:p>
        </w:tc>
        <w:tc>
          <w:tcPr>
            <w:tcW w:w="847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0.2</w:t>
            </w:r>
          </w:p>
        </w:tc>
        <w:tc>
          <w:tcPr>
            <w:tcW w:w="1341" w:type="dxa"/>
            <w:vMerge w:val="restart"/>
            <w:vAlign w:val="center"/>
          </w:tcPr>
          <w:p w:rsidR="00CF5F4A" w:rsidRDefault="00CF5F4A" w:rsidP="00CF5F4A">
            <w:pPr>
              <w:jc w:val="center"/>
            </w:pPr>
            <w:r>
              <w:t>0.5</w:t>
            </w:r>
          </w:p>
        </w:tc>
        <w:tc>
          <w:tcPr>
            <w:tcW w:w="1341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0.1</w:t>
            </w:r>
          </w:p>
        </w:tc>
        <w:tc>
          <w:tcPr>
            <w:tcW w:w="1966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0.1</w:t>
            </w: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0.05</w:t>
            </w:r>
          </w:p>
        </w:tc>
      </w:tr>
      <w:tr w:rsidR="00CF5F4A" w:rsidTr="003C067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0.06</w:t>
            </w:r>
          </w:p>
        </w:tc>
      </w:tr>
      <w:tr w:rsidR="00CF5F4A" w:rsidTr="003C067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0.07</w:t>
            </w:r>
          </w:p>
        </w:tc>
      </w:tr>
      <w:tr w:rsidR="00CF5F4A" w:rsidTr="003C067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0.08</w:t>
            </w:r>
          </w:p>
        </w:tc>
      </w:tr>
      <w:tr w:rsidR="00CF5F4A" w:rsidTr="003C067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0.09</w:t>
            </w:r>
          </w:p>
        </w:tc>
      </w:tr>
      <w:tr w:rsidR="00CF5F4A" w:rsidTr="003C067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0.1</w:t>
            </w:r>
          </w:p>
        </w:tc>
      </w:tr>
      <w:tr w:rsidR="00CF5F4A" w:rsidTr="00B571CF">
        <w:tc>
          <w:tcPr>
            <w:tcW w:w="1449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supercritical</w:t>
            </w:r>
          </w:p>
        </w:tc>
        <w:tc>
          <w:tcPr>
            <w:tcW w:w="847" w:type="dxa"/>
            <w:vMerge w:val="restart"/>
            <w:vAlign w:val="center"/>
          </w:tcPr>
          <w:p w:rsidR="00CF5F4A" w:rsidRDefault="00CF5F4A" w:rsidP="00B00410">
            <w:pPr>
              <w:jc w:val="center"/>
            </w:pPr>
            <w:r>
              <w:t>0.2</w:t>
            </w:r>
          </w:p>
        </w:tc>
        <w:tc>
          <w:tcPr>
            <w:tcW w:w="1341" w:type="dxa"/>
            <w:vMerge w:val="restart"/>
            <w:vAlign w:val="center"/>
          </w:tcPr>
          <w:p w:rsidR="00CF5F4A" w:rsidRDefault="00CF5F4A" w:rsidP="00CF5F4A">
            <w:pPr>
              <w:jc w:val="center"/>
            </w:pPr>
            <w:r>
              <w:t>2.5</w:t>
            </w:r>
          </w:p>
        </w:tc>
        <w:tc>
          <w:tcPr>
            <w:tcW w:w="1341" w:type="dxa"/>
            <w:vMerge w:val="restart"/>
            <w:vAlign w:val="center"/>
          </w:tcPr>
          <w:p w:rsidR="00CF5F4A" w:rsidRDefault="00CF5F4A" w:rsidP="00CF5F4A">
            <w:pPr>
              <w:jc w:val="center"/>
            </w:pPr>
            <w:r>
              <w:t>0.5</w:t>
            </w:r>
          </w:p>
        </w:tc>
        <w:tc>
          <w:tcPr>
            <w:tcW w:w="1966" w:type="dxa"/>
            <w:vMerge w:val="restart"/>
            <w:vAlign w:val="center"/>
          </w:tcPr>
          <w:p w:rsidR="00CF5F4A" w:rsidRDefault="00CF5F4A" w:rsidP="00CF5F4A">
            <w:pPr>
              <w:jc w:val="center"/>
            </w:pPr>
            <w:r>
              <w:t>0.29</w:t>
            </w: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0.05</w:t>
            </w:r>
          </w:p>
        </w:tc>
      </w:tr>
      <w:tr w:rsidR="00CF5F4A" w:rsidTr="00B571C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0.06</w:t>
            </w:r>
          </w:p>
        </w:tc>
      </w:tr>
      <w:tr w:rsidR="00CF5F4A" w:rsidTr="00B571C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0.07</w:t>
            </w:r>
          </w:p>
        </w:tc>
      </w:tr>
      <w:tr w:rsidR="00CF5F4A" w:rsidTr="00B571C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0.08</w:t>
            </w:r>
          </w:p>
        </w:tc>
      </w:tr>
      <w:tr w:rsidR="00CF5F4A" w:rsidTr="00B571C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0.09</w:t>
            </w:r>
          </w:p>
        </w:tc>
      </w:tr>
      <w:tr w:rsidR="00CF5F4A" w:rsidTr="00B571CF">
        <w:tc>
          <w:tcPr>
            <w:tcW w:w="1449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847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</w:tcPr>
          <w:p w:rsidR="00CF5F4A" w:rsidRDefault="00CF5F4A" w:rsidP="00B00410">
            <w:pPr>
              <w:jc w:val="center"/>
            </w:pPr>
          </w:p>
        </w:tc>
        <w:tc>
          <w:tcPr>
            <w:tcW w:w="1341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66" w:type="dxa"/>
            <w:vMerge/>
            <w:vAlign w:val="center"/>
          </w:tcPr>
          <w:p w:rsidR="00CF5F4A" w:rsidRDefault="00CF5F4A" w:rsidP="00B00410">
            <w:pPr>
              <w:jc w:val="center"/>
            </w:pPr>
          </w:p>
        </w:tc>
        <w:tc>
          <w:tcPr>
            <w:tcW w:w="1959" w:type="dxa"/>
            <w:vAlign w:val="center"/>
          </w:tcPr>
          <w:p w:rsidR="00CF5F4A" w:rsidRDefault="00CF5F4A" w:rsidP="00D2314C">
            <w:pPr>
              <w:jc w:val="center"/>
            </w:pPr>
            <w:r>
              <w:t>0.1</w:t>
            </w:r>
          </w:p>
        </w:tc>
      </w:tr>
    </w:tbl>
    <w:p w:rsidR="00CE29FC" w:rsidRDefault="00CE29FC"/>
    <w:sectPr w:rsidR="00CE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DA"/>
    <w:rsid w:val="00363DDA"/>
    <w:rsid w:val="00597DE8"/>
    <w:rsid w:val="00717B09"/>
    <w:rsid w:val="00780C90"/>
    <w:rsid w:val="00B00410"/>
    <w:rsid w:val="00BC27E6"/>
    <w:rsid w:val="00CE29FC"/>
    <w:rsid w:val="00CF5F4A"/>
    <w:rsid w:val="00D2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2022-02-18T08:43:00Z</dcterms:created>
  <dcterms:modified xsi:type="dcterms:W3CDTF">2022-02-18T10:03:00Z</dcterms:modified>
</cp:coreProperties>
</file>