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4" w:rsidRPr="002241D4" w:rsidRDefault="002241D4" w:rsidP="002241D4">
      <w:pPr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2241D4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Flow Turbulence Characteristics in an Open Channel with Periodically Variable Mobile Bedforms</w:t>
      </w:r>
    </w:p>
    <w:p w:rsidR="005C041E" w:rsidRPr="00CC1D1A" w:rsidRDefault="006465C8" w:rsidP="00CC1D1A">
      <w:pPr>
        <w:rPr>
          <w:rFonts w:ascii="Calibri" w:eastAsia="Calibri" w:hAnsi="Calibri" w:cs="Arial"/>
          <w:b/>
          <w:bCs/>
          <w:sz w:val="20"/>
          <w:szCs w:val="20"/>
        </w:rPr>
      </w:pPr>
      <w:r w:rsidRPr="00CC1D1A">
        <w:rPr>
          <w:rFonts w:ascii="Calibri" w:eastAsia="Calibri" w:hAnsi="Calibri" w:cs="Arial"/>
          <w:b/>
          <w:bCs/>
          <w:sz w:val="20"/>
          <w:szCs w:val="20"/>
        </w:rPr>
        <w:t>Ahmad B. M</w:t>
      </w:r>
      <w:r w:rsidR="00250552" w:rsidRPr="00CC1D1A">
        <w:rPr>
          <w:rFonts w:ascii="Calibri" w:eastAsia="Calibri" w:hAnsi="Calibri" w:cs="Arial"/>
          <w:b/>
          <w:bCs/>
          <w:sz w:val="20"/>
          <w:szCs w:val="20"/>
        </w:rPr>
        <w:t xml:space="preserve">., </w:t>
      </w:r>
      <w:r w:rsidR="00CC1D1A" w:rsidRPr="00CC1D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Shawnm M. S., </w:t>
      </w:r>
      <w:r w:rsidR="000D5A5C" w:rsidRPr="00CC1D1A">
        <w:rPr>
          <w:rFonts w:ascii="Calibri" w:eastAsia="Calibri" w:hAnsi="Calibri" w:cs="Arial"/>
          <w:b/>
          <w:bCs/>
          <w:sz w:val="20"/>
          <w:szCs w:val="20"/>
        </w:rPr>
        <w:t>Abo</w:t>
      </w:r>
      <w:r w:rsidR="005C041E" w:rsidRPr="00CC1D1A">
        <w:rPr>
          <w:rFonts w:ascii="Calibri" w:eastAsia="Calibri" w:hAnsi="Calibri" w:cs="Arial"/>
          <w:b/>
          <w:bCs/>
          <w:sz w:val="20"/>
          <w:szCs w:val="20"/>
        </w:rPr>
        <w:t xml:space="preserve"> A. A. </w:t>
      </w:r>
    </w:p>
    <w:p w:rsidR="002241D4" w:rsidRDefault="002241D4" w:rsidP="007D2992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D2992" w:rsidRPr="002241D4" w:rsidRDefault="002241D4" w:rsidP="007D2992">
      <w:pPr>
        <w:jc w:val="both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 w:rsidRPr="002241D4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ABSTRACT</w:t>
      </w:r>
    </w:p>
    <w:p w:rsidR="007D2992" w:rsidRDefault="007D2992" w:rsidP="00C42486">
      <w:pPr>
        <w:jc w:val="both"/>
        <w:rPr>
          <w:rFonts w:cstheme="minorHAnsi"/>
          <w:sz w:val="24"/>
          <w:szCs w:val="24"/>
        </w:rPr>
      </w:pPr>
      <w:r w:rsidRPr="002241D4">
        <w:rPr>
          <w:rFonts w:cstheme="minorHAnsi"/>
          <w:sz w:val="24"/>
          <w:szCs w:val="24"/>
        </w:rPr>
        <w:t>Flow turbulence over mobile bedforms in natural open channels is still a mystery. In this work, the effect of naturally produced mobile bedforms on velocities, turbulence intensities, and turb</w:t>
      </w:r>
      <w:r w:rsidR="002241D4" w:rsidRPr="002241D4">
        <w:rPr>
          <w:rFonts w:cstheme="minorHAnsi"/>
          <w:sz w:val="24"/>
          <w:szCs w:val="24"/>
        </w:rPr>
        <w:t xml:space="preserve">ulent stresses is investigated, </w:t>
      </w:r>
      <w:r w:rsidRPr="002241D4">
        <w:rPr>
          <w:rFonts w:cstheme="minorHAnsi"/>
          <w:sz w:val="24"/>
          <w:szCs w:val="24"/>
        </w:rPr>
        <w:t xml:space="preserve">using </w:t>
      </w:r>
      <w:r w:rsidR="00A568BA">
        <w:rPr>
          <w:rFonts w:cstheme="minorHAnsi"/>
          <w:sz w:val="24"/>
          <w:szCs w:val="24"/>
        </w:rPr>
        <w:t>computational fluid dynamic code FLOW3D</w:t>
      </w:r>
      <w:r w:rsidRPr="002241D4">
        <w:rPr>
          <w:rFonts w:cstheme="minorHAnsi"/>
          <w:sz w:val="24"/>
          <w:szCs w:val="24"/>
        </w:rPr>
        <w:t xml:space="preserve">. </w:t>
      </w:r>
      <w:r w:rsidR="00C42486">
        <w:rPr>
          <w:rFonts w:cstheme="minorHAnsi"/>
          <w:sz w:val="24"/>
          <w:szCs w:val="24"/>
        </w:rPr>
        <w:t>Firstly the code</w:t>
      </w:r>
      <w:r w:rsidR="00CC1D1A">
        <w:rPr>
          <w:rFonts w:cstheme="minorHAnsi"/>
          <w:sz w:val="24"/>
          <w:szCs w:val="24"/>
        </w:rPr>
        <w:t xml:space="preserve"> is</w:t>
      </w:r>
      <w:r w:rsidR="00C42486">
        <w:rPr>
          <w:rFonts w:cstheme="minorHAnsi"/>
          <w:sz w:val="24"/>
          <w:szCs w:val="24"/>
        </w:rPr>
        <w:t xml:space="preserve"> validated by experimental data of (bla bla bla). </w:t>
      </w:r>
      <w:r w:rsidRPr="002241D4">
        <w:rPr>
          <w:rFonts w:cstheme="minorHAnsi"/>
          <w:sz w:val="24"/>
          <w:szCs w:val="24"/>
        </w:rPr>
        <w:t>The</w:t>
      </w:r>
      <w:r w:rsidR="00C42486">
        <w:rPr>
          <w:rFonts w:cstheme="minorHAnsi"/>
          <w:sz w:val="24"/>
          <w:szCs w:val="24"/>
        </w:rPr>
        <w:t>n</w:t>
      </w:r>
      <w:r w:rsidRPr="002241D4">
        <w:rPr>
          <w:rFonts w:cstheme="minorHAnsi"/>
          <w:sz w:val="24"/>
          <w:szCs w:val="24"/>
        </w:rPr>
        <w:t xml:space="preserve"> </w:t>
      </w:r>
      <w:r w:rsidR="00C42486">
        <w:rPr>
          <w:rFonts w:cstheme="minorHAnsi"/>
          <w:sz w:val="24"/>
          <w:szCs w:val="24"/>
        </w:rPr>
        <w:t>the code applied on sixty four models as tabulated below. Finally v</w:t>
      </w:r>
      <w:r w:rsidR="00C42486" w:rsidRPr="002241D4">
        <w:rPr>
          <w:rFonts w:cstheme="minorHAnsi"/>
          <w:sz w:val="24"/>
          <w:szCs w:val="24"/>
        </w:rPr>
        <w:t>ertical</w:t>
      </w:r>
      <w:r w:rsidRPr="002241D4">
        <w:rPr>
          <w:rFonts w:cstheme="minorHAnsi"/>
          <w:sz w:val="24"/>
          <w:szCs w:val="24"/>
        </w:rPr>
        <w:t xml:space="preserve"> distribution of velocity, turbulence intensities, </w:t>
      </w:r>
      <w:r w:rsidR="002241D4" w:rsidRPr="002241D4">
        <w:rPr>
          <w:rFonts w:cstheme="minorHAnsi"/>
          <w:sz w:val="24"/>
          <w:szCs w:val="24"/>
        </w:rPr>
        <w:t xml:space="preserve">and </w:t>
      </w:r>
      <w:r w:rsidRPr="002241D4">
        <w:rPr>
          <w:rFonts w:cstheme="minorHAnsi"/>
          <w:sz w:val="24"/>
          <w:szCs w:val="24"/>
        </w:rPr>
        <w:t>Reynolds shear stress are all documented.</w:t>
      </w:r>
      <w:r w:rsidR="003B0985">
        <w:rPr>
          <w:rFonts w:cstheme="minorHAnsi"/>
          <w:sz w:val="24"/>
          <w:szCs w:val="24"/>
        </w:rPr>
        <w:t xml:space="preserve"> </w:t>
      </w:r>
      <w:r w:rsidRPr="002241D4">
        <w:rPr>
          <w:rFonts w:cstheme="minorHAnsi"/>
          <w:sz w:val="24"/>
          <w:szCs w:val="24"/>
        </w:rPr>
        <w:t xml:space="preserve">The velocity distributions reveal a significant drop in velocity along the bed when the bedform mobility increases due to increased friction. </w:t>
      </w:r>
    </w:p>
    <w:p w:rsidR="00143DE1" w:rsidRDefault="007C1DB5" w:rsidP="009A015F">
      <w:pPr>
        <w:rPr>
          <w:rFonts w:ascii="Calibri" w:eastAsia="Calibri" w:hAnsi="Calibri" w:cs="Arial"/>
          <w:sz w:val="20"/>
          <w:szCs w:val="20"/>
        </w:rPr>
      </w:pPr>
      <w:r w:rsidRPr="007C1DB5">
        <w:rPr>
          <w:rFonts w:ascii="Calibri" w:eastAsia="Calibri" w:hAnsi="Calibri" w:cs="Arial"/>
          <w:b/>
          <w:bCs/>
          <w:sz w:val="20"/>
          <w:szCs w:val="20"/>
        </w:rPr>
        <w:t>Keywords:</w:t>
      </w:r>
      <w:r w:rsidRPr="007C1DB5">
        <w:rPr>
          <w:rFonts w:ascii="Calibri" w:eastAsia="Calibri" w:hAnsi="Calibri" w:cs="Arial"/>
          <w:sz w:val="20"/>
          <w:szCs w:val="20"/>
        </w:rPr>
        <w:t xml:space="preserve"> Turbulence; Open channel; Bedforms; </w:t>
      </w:r>
      <w:r w:rsidR="009A015F">
        <w:rPr>
          <w:rFonts w:ascii="Calibri" w:eastAsia="Calibri" w:hAnsi="Calibri" w:cs="Arial"/>
          <w:sz w:val="20"/>
          <w:szCs w:val="20"/>
        </w:rPr>
        <w:t>CFD, FLOW3D</w:t>
      </w:r>
      <w:r>
        <w:rPr>
          <w:rFonts w:ascii="Calibri" w:eastAsia="Calibri" w:hAnsi="Calibri" w:cs="Arial"/>
          <w:sz w:val="20"/>
          <w:szCs w:val="20"/>
        </w:rPr>
        <w:t>.</w:t>
      </w:r>
    </w:p>
    <w:p w:rsidR="009A015F" w:rsidRDefault="009A015F" w:rsidP="00C42486">
      <w:pPr>
        <w:rPr>
          <w:rFonts w:ascii="Calibri" w:eastAsia="Calibri" w:hAnsi="Calibri" w:cs="Arial"/>
          <w:sz w:val="20"/>
          <w:szCs w:val="20"/>
        </w:rPr>
      </w:pPr>
    </w:p>
    <w:p w:rsidR="009A015F" w:rsidRDefault="009A015F" w:rsidP="00C42486">
      <w:pPr>
        <w:rPr>
          <w:rFonts w:ascii="Calibri" w:eastAsia="Calibri" w:hAnsi="Calibri" w:cs="Arial"/>
          <w:sz w:val="20"/>
          <w:szCs w:val="20"/>
        </w:rPr>
      </w:pPr>
    </w:p>
    <w:p w:rsidR="009A015F" w:rsidRDefault="009A015F" w:rsidP="009A015F">
      <w:pPr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noProof/>
          <w:sz w:val="20"/>
          <w:szCs w:val="20"/>
        </w:rPr>
        <w:drawing>
          <wp:inline distT="0" distB="0" distL="0" distR="0">
            <wp:extent cx="3990975" cy="29651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5F" w:rsidRDefault="009A015F" w:rsidP="009A015F">
      <w:pPr>
        <w:jc w:val="center"/>
        <w:rPr>
          <w:rFonts w:ascii="Calibri" w:eastAsia="Calibri" w:hAnsi="Calibri" w:cs="Arial"/>
          <w:sz w:val="20"/>
          <w:szCs w:val="20"/>
        </w:rPr>
      </w:pPr>
    </w:p>
    <w:p w:rsidR="009A015F" w:rsidRDefault="009A015F" w:rsidP="009A015F">
      <w:pPr>
        <w:jc w:val="center"/>
        <w:rPr>
          <w:rFonts w:ascii="Calibri" w:eastAsia="Calibri" w:hAnsi="Calibri" w:cs="Arial"/>
          <w:sz w:val="20"/>
          <w:szCs w:val="20"/>
        </w:rPr>
      </w:pPr>
    </w:p>
    <w:p w:rsidR="009A015F" w:rsidRDefault="009A015F" w:rsidP="009A015F">
      <w:pPr>
        <w:rPr>
          <w:rFonts w:ascii="Calibri" w:eastAsia="Calibri" w:hAnsi="Calibri" w:cs="Arial"/>
          <w:sz w:val="20"/>
          <w:szCs w:val="20"/>
        </w:rPr>
      </w:pPr>
    </w:p>
    <w:p w:rsidR="009A015F" w:rsidRDefault="009A015F" w:rsidP="009A015F">
      <w:pPr>
        <w:rPr>
          <w:rFonts w:ascii="Calibri" w:eastAsia="Calibri" w:hAnsi="Calibri" w:cs="Arial"/>
          <w:sz w:val="20"/>
          <w:szCs w:val="20"/>
        </w:rPr>
      </w:pPr>
    </w:p>
    <w:p w:rsidR="009A015F" w:rsidRDefault="009A015F" w:rsidP="009A015F">
      <w:pPr>
        <w:rPr>
          <w:rFonts w:ascii="Calibri" w:eastAsia="Calibri" w:hAnsi="Calibri" w:cs="Arial"/>
          <w:sz w:val="20"/>
          <w:szCs w:val="20"/>
        </w:rPr>
      </w:pPr>
      <w:bookmarkStart w:id="0" w:name="_GoBack"/>
      <w:bookmarkEnd w:id="0"/>
    </w:p>
    <w:p w:rsidR="009A015F" w:rsidRDefault="009A015F" w:rsidP="009A015F">
      <w:pPr>
        <w:rPr>
          <w:rFonts w:ascii="Calibri" w:eastAsia="Calibri" w:hAnsi="Calibr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760"/>
        <w:gridCol w:w="2760"/>
        <w:gridCol w:w="2760"/>
      </w:tblGrid>
      <w:tr w:rsidR="00A568BA" w:rsidRPr="009A015F" w:rsidTr="00732ADD">
        <w:tc>
          <w:tcPr>
            <w:tcW w:w="1188" w:type="dxa"/>
          </w:tcPr>
          <w:p w:rsidR="00A568BA" w:rsidRPr="009A015F" w:rsidRDefault="00A568BA" w:rsidP="00A568BA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Case #</w:t>
            </w:r>
          </w:p>
        </w:tc>
        <w:tc>
          <w:tcPr>
            <w:tcW w:w="2760" w:type="dxa"/>
          </w:tcPr>
          <w:p w:rsidR="00A568BA" w:rsidRPr="009A015F" w:rsidRDefault="00A568BA" w:rsidP="007C1DB5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Discharge m</w:t>
            </w: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/s</w:t>
            </w:r>
          </w:p>
        </w:tc>
        <w:tc>
          <w:tcPr>
            <w:tcW w:w="2760" w:type="dxa"/>
          </w:tcPr>
          <w:p w:rsidR="00A568BA" w:rsidRPr="009A015F" w:rsidRDefault="00A568BA" w:rsidP="007C1DB5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Roughness coefficient (n)</w:t>
            </w:r>
          </w:p>
        </w:tc>
        <w:tc>
          <w:tcPr>
            <w:tcW w:w="2760" w:type="dxa"/>
          </w:tcPr>
          <w:p w:rsidR="00A568BA" w:rsidRPr="009A015F" w:rsidRDefault="00A568BA" w:rsidP="007C1DB5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Bed slopes (S</w:t>
            </w: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  <w:vertAlign w:val="subscript"/>
              </w:rPr>
              <w:t>0</w:t>
            </w: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C42486" w:rsidRPr="009A015F" w:rsidTr="00143DE1">
        <w:trPr>
          <w:trHeight w:val="285"/>
        </w:trPr>
        <w:tc>
          <w:tcPr>
            <w:tcW w:w="1188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0.2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0.018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3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19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0.035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18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33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8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3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37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18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3B098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0.25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0.018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52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2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8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0.035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3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143DE1">
        <w:trPr>
          <w:trHeight w:val="278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16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0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07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2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0.018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0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0.035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1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2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67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3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0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195"/>
        </w:trPr>
        <w:tc>
          <w:tcPr>
            <w:tcW w:w="1188" w:type="dxa"/>
            <w:vMerge w:val="restart"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0.018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1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8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0.035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37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3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4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33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18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143DE1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  <w:tr w:rsidR="00C42486" w:rsidRPr="009A015F" w:rsidTr="00143DE1">
        <w:trPr>
          <w:trHeight w:val="21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0.0004</w:t>
            </w:r>
          </w:p>
        </w:tc>
      </w:tr>
      <w:tr w:rsidR="00C42486" w:rsidRPr="009A015F" w:rsidTr="00143DE1">
        <w:trPr>
          <w:trHeight w:val="21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0.001</w:t>
            </w:r>
          </w:p>
        </w:tc>
      </w:tr>
      <w:tr w:rsidR="00C42486" w:rsidRPr="009A015F" w:rsidTr="00143DE1">
        <w:trPr>
          <w:trHeight w:val="270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0.006</w:t>
            </w:r>
          </w:p>
        </w:tc>
      </w:tr>
      <w:tr w:rsidR="00C42486" w:rsidRPr="009A015F" w:rsidTr="00732ADD">
        <w:trPr>
          <w:trHeight w:val="255"/>
        </w:trPr>
        <w:tc>
          <w:tcPr>
            <w:tcW w:w="1188" w:type="dxa"/>
            <w:vMerge/>
            <w:vAlign w:val="center"/>
          </w:tcPr>
          <w:p w:rsidR="00C42486" w:rsidRPr="009A015F" w:rsidRDefault="00C42486" w:rsidP="00732AD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C42486" w:rsidRPr="009A015F" w:rsidRDefault="00C42486" w:rsidP="001A1DD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A015F">
              <w:rPr>
                <w:rFonts w:ascii="Calibri" w:eastAsia="Calibri" w:hAnsi="Calibri" w:cs="Arial"/>
                <w:sz w:val="20"/>
                <w:szCs w:val="20"/>
              </w:rPr>
              <w:t>0.01</w:t>
            </w:r>
          </w:p>
        </w:tc>
      </w:tr>
    </w:tbl>
    <w:p w:rsidR="00A568BA" w:rsidRPr="009A015F" w:rsidRDefault="00A568BA" w:rsidP="007C1DB5">
      <w:pPr>
        <w:rPr>
          <w:rFonts w:ascii="Calibri" w:eastAsia="Calibri" w:hAnsi="Calibri" w:cs="Arial"/>
          <w:sz w:val="20"/>
          <w:szCs w:val="20"/>
        </w:rPr>
      </w:pPr>
    </w:p>
    <w:sectPr w:rsidR="00A568BA" w:rsidRPr="009A015F" w:rsidSect="009A015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2"/>
    <w:rsid w:val="000D5A5C"/>
    <w:rsid w:val="00143DE1"/>
    <w:rsid w:val="002241D4"/>
    <w:rsid w:val="00250552"/>
    <w:rsid w:val="003B0985"/>
    <w:rsid w:val="003D3C46"/>
    <w:rsid w:val="005C041E"/>
    <w:rsid w:val="006465C8"/>
    <w:rsid w:val="006E5055"/>
    <w:rsid w:val="00732ADD"/>
    <w:rsid w:val="007C1DB5"/>
    <w:rsid w:val="007D2992"/>
    <w:rsid w:val="009A015F"/>
    <w:rsid w:val="00A568BA"/>
    <w:rsid w:val="00C42486"/>
    <w:rsid w:val="00C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D299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C1DB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A5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D299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C1DB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A5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7</cp:revision>
  <dcterms:created xsi:type="dcterms:W3CDTF">2021-11-30T17:11:00Z</dcterms:created>
  <dcterms:modified xsi:type="dcterms:W3CDTF">2022-02-18T07:59:00Z</dcterms:modified>
</cp:coreProperties>
</file>