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DD8F9" w14:textId="77777777" w:rsidR="006C6C39" w:rsidRPr="006C6C39" w:rsidRDefault="006C6C39" w:rsidP="006C6C39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>PERIANTH ARRANGEMENT/CYCLY/MEROSITY</w:t>
      </w:r>
    </w:p>
    <w:p w14:paraId="1179B050" w14:textId="77777777" w:rsidR="006C6C39" w:rsidRPr="006C6C39" w:rsidRDefault="006C6C39" w:rsidP="006C6C3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-Roman" w:hAnsi="Times New Roman" w:cs="Times New Roman"/>
          <w:color w:val="1F1410"/>
          <w:sz w:val="28"/>
          <w:szCs w:val="28"/>
        </w:rPr>
      </w:pP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A fundamental aspect of perianth structure is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>perianth arrangement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, the position of perianth parts relative to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one another. In some taxa, such as some magnolias and water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lilies, the perianth parts have a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spiral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arrangement, i.e., spirally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arranged with only one perianth part per node, not in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distinct whorls. </w:t>
      </w:r>
    </w:p>
    <w:p w14:paraId="046D971A" w14:textId="77777777" w:rsidR="006C6C39" w:rsidRPr="006C6C39" w:rsidRDefault="006C6C39" w:rsidP="006C6C3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</w:pP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Typically, flowers with a spiral perianth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arrangement have parts that are either undifferentiated (similar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to one another) or that grade from an outer, sepal-like form to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an inner petal-like form. In either case, the term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tepal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is used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to describe undifferentiated or intergrading perianth parts.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In most flowering plants the perianth parts have a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whorled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arrangement, in which the parts appear to arise from the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same nodal region. (Note that, developmentally, the perianth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parts may actually initiate as primordia at slightly different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times and positions; however, at maturity, this is usually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undetectable.)</w:t>
      </w:r>
    </w:p>
    <w:p w14:paraId="7B4A7019" w14:textId="77777777" w:rsidR="006C6C39" w:rsidRPr="006C6C39" w:rsidRDefault="006C6C39" w:rsidP="006C6C3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-Roman" w:hAnsi="Times New Roman" w:cs="Times New Roman"/>
          <w:color w:val="1F1410"/>
          <w:sz w:val="28"/>
          <w:szCs w:val="28"/>
        </w:rPr>
      </w:pP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Cycly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refers to the number of whorls (cycles, series) of parts. Thus,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perianth cycly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is the number of whorls of perianth parts. The most common type of perianth cycly is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biseriate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(also called dicyclic), in which there are two discrete whorls, an outer (= lower) and inner (= upper). A less common condition in flowering plants is a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uniseriate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perianth cycly, with perianth parts in a single whorl. Uniseriate perianths may arise by loss or reduction of one of the whorls of an ancestrally biseriate perianth. </w:t>
      </w:r>
    </w:p>
    <w:p w14:paraId="71BB5D00" w14:textId="77777777" w:rsidR="006C6C39" w:rsidRPr="006C6C39" w:rsidRDefault="006C6C39" w:rsidP="006C6C3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-Roman" w:hAnsi="Times New Roman" w:cs="Times New Roman"/>
          <w:color w:val="1F1410"/>
          <w:sz w:val="28"/>
          <w:szCs w:val="28"/>
        </w:rPr>
      </w:pP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If it is known that the calyx was evolutionarily lost, what remains should be called a corolla; if the corolla was lost, what remains should be termed a calyx. If this directionality is not known, a uniseriate perianth is usually termed a calyx by tradition (although it may simply be called a perianth). Perianths may also rarely be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triseriate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(or tricyclic) = three-whorled,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tetraseriate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(or tetracyclic) = four-whorled, etc. The term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multiseriate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may be used to mean composed of three or more whorls. Other cycly terms evaluate the similarity of the whorls of parts to one another.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>Dichlamydeous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 describes a perianth composed of a distinct outer calyx and inner corolla; in most cases, a dichlamydeous perianth is also biseriate,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lastRenderedPageBreak/>
        <w:t xml:space="preserve">but it may be multiseriate (i.e., the calyx or corolla containing more than one whorl).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Homochlamydeous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refers to a perianth composed of similar parts, each part a tepal. Most monocots have a homochlamydeous perianth, whereas most eudicots have a dichlamydeous one.</w:t>
      </w:r>
    </w:p>
    <w:p w14:paraId="3BEBB4D3" w14:textId="77777777" w:rsidR="006C6C39" w:rsidRPr="006C6C39" w:rsidRDefault="006C6C39" w:rsidP="006C6C3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-Roman" w:hAnsi="Times New Roman" w:cs="Times New Roman"/>
          <w:color w:val="1F1410"/>
          <w:sz w:val="28"/>
          <w:szCs w:val="28"/>
        </w:rPr>
      </w:pP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Merosity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refers to the number of parts per whorl or cycle.  Thus,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perianth merosity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is the number of parts per whorl of the perianth. General terms for perianth merosity are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>isomerous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, having the same number of members in different whorls (e.g., five sepals and five petals) and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>anisomerous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, having a different number of members in different whorls (e.g., two sepals and five petals). Merosity may be described separately for each whorl of the perianth, e.g.,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calyx merosity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and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>corolla merosity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. It is assessed for numbers of discrete petals, sepals, and tepals, or, if perianth fusion occurs, for numbers of calyx, corolla, or perianth lobes. </w:t>
      </w:r>
    </w:p>
    <w:p w14:paraId="5C84C4D0" w14:textId="77777777" w:rsidR="006C6C39" w:rsidRPr="006C6C39" w:rsidRDefault="006C6C39" w:rsidP="006C6C3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-Roman" w:hAnsi="Times New Roman" w:cs="Times New Roman"/>
          <w:color w:val="1F1410"/>
          <w:sz w:val="28"/>
          <w:szCs w:val="28"/>
        </w:rPr>
      </w:pPr>
      <w:r w:rsidRPr="006C6C39">
        <w:rPr>
          <w:rFonts w:ascii="Times New Roman" w:eastAsia="Times-Roman" w:hAnsi="Times New Roman" w:cs="Times New Roman"/>
          <w:b/>
          <w:bCs/>
          <w:noProof/>
          <w:color w:val="1F141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52BE56D" wp14:editId="400D4D41">
            <wp:simplePos x="0" y="0"/>
            <wp:positionH relativeFrom="column">
              <wp:posOffset>-305435</wp:posOffset>
            </wp:positionH>
            <wp:positionV relativeFrom="paragraph">
              <wp:posOffset>2159000</wp:posOffset>
            </wp:positionV>
            <wp:extent cx="6368415" cy="2307590"/>
            <wp:effectExtent l="0" t="0" r="0" b="0"/>
            <wp:wrapSquare wrapText="bothSides"/>
            <wp:docPr id="7" name="Picture 7" descr="C:\Users\A\Pictures\2013-11-02\Scan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Pictures\2013-11-02\Scan20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7" t="13737" r="23280" b="71579"/>
                    <a:stretch/>
                  </pic:blipFill>
                  <pic:spPr bwMode="auto">
                    <a:xfrm>
                      <a:off x="0" y="0"/>
                      <a:ext cx="636841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Perianth, calyx, or corolla merosity is usually designated as a simple number, although terms such as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bimerous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(a whorl with two members),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>trimerous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 (a whorl with three members),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tetramerous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(a whorl with four members),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pentamerous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(a whorl with five members), etc., can be used. Terms for absence of parts include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>achlamydeous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, lacking a perianth altogether,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>apetalous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, having no petals or corolla, and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>asepalous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, having no sepals or calyx.</w:t>
      </w:r>
    </w:p>
    <w:p w14:paraId="6C7F484F" w14:textId="77777777" w:rsidR="006C6C39" w:rsidRPr="006C6C39" w:rsidRDefault="006C6C39" w:rsidP="006C6C39">
      <w:pPr>
        <w:autoSpaceDE w:val="0"/>
        <w:autoSpaceDN w:val="0"/>
        <w:adjustRightInd w:val="0"/>
        <w:spacing w:after="0" w:line="360" w:lineRule="auto"/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</w:pP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PERIANTH FUSION </w:t>
      </w:r>
    </w:p>
    <w:p w14:paraId="6A05FC5A" w14:textId="77777777" w:rsidR="006C6C39" w:rsidRPr="006C6C39" w:rsidRDefault="006C6C39" w:rsidP="006C6C3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-Roman" w:hAnsi="Times New Roman" w:cs="Times New Roman"/>
          <w:color w:val="1F1410"/>
          <w:sz w:val="28"/>
          <w:szCs w:val="28"/>
        </w:rPr>
      </w:pP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lastRenderedPageBreak/>
        <w:t xml:space="preserve">The term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perianth fusion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deals with the apparent fusion of perianth parts to one another. (This character may be treated separately as calyx</w:t>
      </w:r>
      <w:r w:rsidRPr="006C6C39">
        <w:rPr>
          <w:rFonts w:ascii="Times New Roman" w:eastAsia="Times-Roman" w:hAnsi="Times New Roman" w:cs="Times New Roman"/>
          <w:i/>
          <w:iCs/>
          <w:color w:val="1F1410"/>
          <w:sz w:val="28"/>
          <w:szCs w:val="28"/>
        </w:rPr>
        <w:t xml:space="preserve">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or corolla fusion.) If sepals, petals, or tepals are discrete and unfused, the respective terms</w:t>
      </w:r>
    </w:p>
    <w:p w14:paraId="02AEFA11" w14:textId="77777777" w:rsidR="006C6C39" w:rsidRPr="006C6C39" w:rsidRDefault="006C6C39" w:rsidP="006C6C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color w:val="1F1410"/>
          <w:sz w:val="28"/>
          <w:szCs w:val="28"/>
        </w:rPr>
      </w:pP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>aposepalous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,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>apopetalous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, and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apotepalous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may be used. If sepals, petals, or tepals appear to be fused (even slightly at the base), the respective terms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>synsepalous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,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>sympetalous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 xml:space="preserve">, and </w:t>
      </w:r>
      <w:r w:rsidRPr="006C6C39"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  <w:t xml:space="preserve">syntepalous </w:t>
      </w: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are used. The fusion of perianth parts does not usually occur as a separate event, e.g., petals fusing together after they are individually formed. The fusion is apparent, and typically results by the growth of a common floral primordium at the base of the calyx, corolla, or</w:t>
      </w:r>
    </w:p>
    <w:p w14:paraId="0DBC0AD6" w14:textId="77777777" w:rsidR="006C6C39" w:rsidRPr="006C6C39" w:rsidRDefault="006C6C39" w:rsidP="006C6C3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color w:val="1F1410"/>
          <w:sz w:val="28"/>
          <w:szCs w:val="28"/>
        </w:rPr>
      </w:pP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perianth.</w:t>
      </w:r>
    </w:p>
    <w:p w14:paraId="01F8711D" w14:textId="77777777" w:rsidR="006C6C39" w:rsidRPr="006C6C39" w:rsidRDefault="006C6C39" w:rsidP="006C6C3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-Roman" w:hAnsi="Times New Roman" w:cs="Times New Roman"/>
          <w:color w:val="1F1410"/>
          <w:sz w:val="28"/>
          <w:szCs w:val="28"/>
        </w:rPr>
      </w:pPr>
      <w:r w:rsidRPr="006C6C39">
        <w:rPr>
          <w:rFonts w:ascii="Times New Roman" w:eastAsia="Times-Roman" w:hAnsi="Times New Roman" w:cs="Times New Roman"/>
          <w:color w:val="1F1410"/>
          <w:sz w:val="28"/>
          <w:szCs w:val="28"/>
        </w:rPr>
        <w:t>Perianth fusion results in the development of a tube like or cup like structure (the region of fusion) in the calyx, corolla, or perianth. If little fusion occurs, the tube-like region occurs only at the base and gives rise to calyx, corolla, or perianth lobes.</w:t>
      </w:r>
    </w:p>
    <w:p w14:paraId="331826F3" w14:textId="77777777" w:rsidR="006C6C39" w:rsidRPr="006C6C39" w:rsidRDefault="006C6C39" w:rsidP="006C6C3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i/>
          <w:iCs/>
          <w:color w:val="1F1410"/>
          <w:sz w:val="28"/>
          <w:szCs w:val="28"/>
        </w:rPr>
      </w:pPr>
    </w:p>
    <w:p w14:paraId="409B01B6" w14:textId="77777777" w:rsidR="006C6C39" w:rsidRPr="006C6C39" w:rsidRDefault="006C6C39" w:rsidP="006C6C3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</w:pPr>
      <w:r w:rsidRPr="006C6C39">
        <w:rPr>
          <w:rFonts w:ascii="Times New Roman" w:eastAsia="Times-Roman" w:hAnsi="Times New Roman" w:cs="Times New Roman"/>
          <w:b/>
          <w:bCs/>
          <w:noProof/>
          <w:color w:val="1F141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9599B77" wp14:editId="5DAE10CD">
            <wp:simplePos x="0" y="0"/>
            <wp:positionH relativeFrom="column">
              <wp:posOffset>-520065</wp:posOffset>
            </wp:positionH>
            <wp:positionV relativeFrom="paragraph">
              <wp:posOffset>381000</wp:posOffset>
            </wp:positionV>
            <wp:extent cx="6903085" cy="2423795"/>
            <wp:effectExtent l="0" t="0" r="0" b="0"/>
            <wp:wrapSquare wrapText="bothSides"/>
            <wp:docPr id="10" name="Picture 10" descr="C:\Users\A\Pictures\2013-11-02\Scan2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Pictures\2013-11-02\Scan2000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9" t="12285" r="8259" b="67568"/>
                    <a:stretch/>
                  </pic:blipFill>
                  <pic:spPr bwMode="auto">
                    <a:xfrm>
                      <a:off x="0" y="0"/>
                      <a:ext cx="690308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D6DE6" w14:textId="77777777" w:rsidR="006C6C39" w:rsidRPr="006C6C39" w:rsidRDefault="006C6C39" w:rsidP="006C6C3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</w:pPr>
    </w:p>
    <w:p w14:paraId="538DCEAB" w14:textId="77777777" w:rsidR="006C6C39" w:rsidRPr="006C6C39" w:rsidRDefault="006C6C39" w:rsidP="006C6C3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</w:pPr>
      <w:r w:rsidRPr="006C6C39">
        <w:rPr>
          <w:rFonts w:ascii="Times New Roman" w:eastAsia="Times-Roman" w:hAnsi="Times New Roman" w:cs="Times New Roman"/>
          <w:b/>
          <w:bCs/>
          <w:noProof/>
          <w:color w:val="1F14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769E0" wp14:editId="7235BBAB">
                <wp:simplePos x="0" y="0"/>
                <wp:positionH relativeFrom="column">
                  <wp:posOffset>2169795</wp:posOffset>
                </wp:positionH>
                <wp:positionV relativeFrom="paragraph">
                  <wp:posOffset>17307</wp:posOffset>
                </wp:positionV>
                <wp:extent cx="1360967" cy="393405"/>
                <wp:effectExtent l="0" t="0" r="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967" cy="393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34FFC6" w14:textId="77777777" w:rsidR="006C6C39" w:rsidRPr="006C6C39" w:rsidRDefault="006C6C39" w:rsidP="006C6C3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C6C39">
                              <w:rPr>
                                <w:rFonts w:ascii="Times New Roman" w:eastAsia="Times-Roman" w:hAnsi="Times New Roman" w:cs="Times New Roman"/>
                                <w:color w:val="1F1410"/>
                                <w:sz w:val="28"/>
                                <w:szCs w:val="28"/>
                              </w:rPr>
                              <w:t>Perianth fusion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769E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70.85pt;margin-top:1.35pt;width:107.15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" filled="f" stroked="f" strokeweight=".5pt">
                <v:textbox>
                  <w:txbxContent>
                    <w:p w14:paraId="3334FFC6" w14:textId="77777777" w:rsidR="006C6C39" w:rsidRPr="006C6C39" w:rsidRDefault="006C6C39" w:rsidP="006C6C3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C6C39">
                        <w:rPr>
                          <w:rFonts w:ascii="Times New Roman" w:eastAsia="Times-Roman" w:hAnsi="Times New Roman" w:cs="Times New Roman"/>
                          <w:color w:val="1F1410"/>
                          <w:sz w:val="28"/>
                          <w:szCs w:val="28"/>
                        </w:rPr>
                        <w:t>Perianth fusion</w:t>
                      </w:r>
                    </w:p>
                  </w:txbxContent>
                </v:textbox>
              </v:shape>
            </w:pict>
          </mc:Fallback>
        </mc:AlternateContent>
      </w:r>
    </w:p>
    <w:p w14:paraId="023E6638" w14:textId="77777777" w:rsidR="006C6C39" w:rsidRPr="006C6C39" w:rsidRDefault="006C6C39" w:rsidP="006C6C3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</w:pPr>
    </w:p>
    <w:p w14:paraId="2EE41BA1" w14:textId="77777777" w:rsidR="006C6C39" w:rsidRPr="006C6C39" w:rsidRDefault="006C6C39" w:rsidP="006C6C3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</w:pPr>
    </w:p>
    <w:p w14:paraId="0004CC8E" w14:textId="77777777" w:rsidR="006C6C39" w:rsidRPr="006C6C39" w:rsidRDefault="006C6C39" w:rsidP="006C6C3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</w:pPr>
    </w:p>
    <w:p w14:paraId="53281EA1" w14:textId="77777777" w:rsidR="006C6C39" w:rsidRPr="006C6C39" w:rsidRDefault="006C6C39" w:rsidP="006C6C39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bCs/>
          <w:color w:val="1F1410"/>
          <w:sz w:val="28"/>
          <w:szCs w:val="28"/>
        </w:rPr>
      </w:pPr>
    </w:p>
    <w:p w14:paraId="7203E245" w14:textId="77777777" w:rsidR="000C6922" w:rsidRPr="002F186D" w:rsidRDefault="000C6922" w:rsidP="002F186D">
      <w:bookmarkStart w:id="0" w:name="_GoBack"/>
      <w:bookmarkEnd w:id="0"/>
    </w:p>
    <w:sectPr w:rsidR="000C6922" w:rsidRPr="002F186D" w:rsidSect="00520D8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922"/>
    <w:rsid w:val="000C6922"/>
    <w:rsid w:val="002C3AB1"/>
    <w:rsid w:val="002F186D"/>
    <w:rsid w:val="00520D88"/>
    <w:rsid w:val="006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81E79"/>
  <w15:chartTrackingRefBased/>
  <w15:docId w15:val="{6207B10C-1676-41B4-B1B3-174FA23BD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681</Words>
  <Characters>3885</Characters>
  <Application>Microsoft Office Word</Application>
  <DocSecurity>0</DocSecurity>
  <Lines>32</Lines>
  <Paragraphs>9</Paragraphs>
  <ScaleCrop>false</ScaleCrop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Abdullah Shukur</dc:creator>
  <cp:keywords/>
  <dc:description/>
  <cp:lastModifiedBy>Abdullah Shukur</cp:lastModifiedBy>
  <cp:revision>6</cp:revision>
  <dcterms:created xsi:type="dcterms:W3CDTF">2020-01-22T20:28:00Z</dcterms:created>
  <dcterms:modified xsi:type="dcterms:W3CDTF">2020-01-25T05:48:00Z</dcterms:modified>
</cp:coreProperties>
</file>