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FE" w:rsidRDefault="000812FE" w:rsidP="000812FE">
      <w:pPr>
        <w:jc w:val="center"/>
        <w:rPr>
          <w:rStyle w:val="Hyperlink"/>
          <w:b/>
          <w:bCs/>
          <w:color w:val="auto"/>
          <w:sz w:val="48"/>
          <w:szCs w:val="48"/>
          <w:u w:val="none"/>
          <w:lang w:bidi="ar-IQ"/>
        </w:rPr>
      </w:pPr>
      <w:r>
        <w:rPr>
          <w:rStyle w:val="Hyperlink"/>
          <w:b/>
          <w:bCs/>
          <w:color w:val="auto"/>
          <w:sz w:val="48"/>
          <w:szCs w:val="48"/>
          <w:u w:val="none"/>
          <w:lang w:bidi="ar-IQ"/>
        </w:rPr>
        <w:t>Lab-3-</w:t>
      </w:r>
      <w:r>
        <w:rPr>
          <w:lang w:bidi="ar-IQ"/>
        </w:rPr>
        <w:t xml:space="preserve">                                </w:t>
      </w:r>
      <w:bookmarkStart w:id="0" w:name="_GoBack"/>
      <w:bookmarkEnd w:id="0"/>
      <w:r>
        <w:rPr>
          <w:lang w:bidi="ar-IQ"/>
        </w:rPr>
        <w:t>Prepared by  MSc.Ala J.Ahmad</w:t>
      </w:r>
    </w:p>
    <w:p w:rsidR="000812FE" w:rsidRPr="000812FE" w:rsidRDefault="000812FE" w:rsidP="000812FE">
      <w:pPr>
        <w:jc w:val="center"/>
        <w:rPr>
          <w:rFonts w:hint="cs"/>
          <w:b/>
          <w:bCs/>
          <w:sz w:val="48"/>
          <w:szCs w:val="48"/>
          <w:rtl/>
          <w:lang w:bidi="ar-IQ"/>
        </w:rPr>
      </w:pPr>
      <w:r>
        <w:rPr>
          <w:rStyle w:val="Hyperlink"/>
          <w:b/>
          <w:bCs/>
          <w:color w:val="auto"/>
          <w:sz w:val="48"/>
          <w:szCs w:val="48"/>
          <w:u w:val="none"/>
          <w:lang w:bidi="ar-IQ"/>
        </w:rPr>
        <w:t xml:space="preserve"> </w:t>
      </w:r>
      <w:r w:rsidRPr="00FC2F46">
        <w:rPr>
          <w:b/>
          <w:bCs/>
          <w:sz w:val="48"/>
          <w:szCs w:val="48"/>
        </w:rPr>
        <w:t xml:space="preserve">acid–base </w:t>
      </w:r>
      <w:hyperlink r:id="rId8" w:tooltip="Titration" w:history="1">
        <w:r w:rsidRPr="00FC2F46">
          <w:rPr>
            <w:rStyle w:val="Hyperlink"/>
            <w:b/>
            <w:bCs/>
            <w:color w:val="auto"/>
            <w:sz w:val="48"/>
            <w:szCs w:val="48"/>
            <w:u w:val="none"/>
          </w:rPr>
          <w:t>titration</w:t>
        </w:r>
      </w:hyperlink>
    </w:p>
    <w:p w:rsidR="000E6618" w:rsidRDefault="005C2737" w:rsidP="00B9594C">
      <w:pPr>
        <w:jc w:val="both"/>
      </w:pPr>
      <w:r w:rsidRPr="00B9594C">
        <w:t xml:space="preserve"> is a method of </w:t>
      </w:r>
      <w:hyperlink r:id="rId9" w:tooltip="Quantitative analysis (chemistry)" w:history="1">
        <w:r w:rsidRPr="00B9594C">
          <w:rPr>
            <w:rStyle w:val="Hyperlink"/>
            <w:color w:val="auto"/>
            <w:u w:val="none"/>
          </w:rPr>
          <w:t>quantitative analysis</w:t>
        </w:r>
      </w:hyperlink>
      <w:r w:rsidRPr="00B9594C">
        <w:t xml:space="preserve"> for determining the </w:t>
      </w:r>
      <w:hyperlink r:id="rId10" w:tooltip="Concentration" w:history="1">
        <w:r w:rsidRPr="00B9594C">
          <w:rPr>
            <w:rStyle w:val="Hyperlink"/>
            <w:color w:val="auto"/>
            <w:u w:val="none"/>
          </w:rPr>
          <w:t>concentration</w:t>
        </w:r>
      </w:hyperlink>
      <w:r w:rsidRPr="00B9594C">
        <w:t xml:space="preserve"> of an </w:t>
      </w:r>
      <w:hyperlink r:id="rId11" w:tooltip="Acid" w:history="1">
        <w:r w:rsidRPr="00B9594C">
          <w:rPr>
            <w:rStyle w:val="Hyperlink"/>
            <w:color w:val="auto"/>
            <w:u w:val="none"/>
          </w:rPr>
          <w:t>acid</w:t>
        </w:r>
      </w:hyperlink>
      <w:r w:rsidRPr="00B9594C">
        <w:t xml:space="preserve"> or </w:t>
      </w:r>
      <w:hyperlink r:id="rId12" w:tooltip="Base (chemistry)" w:history="1">
        <w:r w:rsidRPr="00B9594C">
          <w:rPr>
            <w:rStyle w:val="Hyperlink"/>
            <w:color w:val="auto"/>
            <w:u w:val="none"/>
          </w:rPr>
          <w:t>base</w:t>
        </w:r>
      </w:hyperlink>
      <w:r w:rsidRPr="00B9594C">
        <w:t xml:space="preserve"> by exactly </w:t>
      </w:r>
      <w:hyperlink r:id="rId13" w:tooltip="Neutralization reaction" w:history="1">
        <w:r w:rsidRPr="00B9594C">
          <w:rPr>
            <w:rStyle w:val="Hyperlink"/>
            <w:color w:val="auto"/>
            <w:u w:val="none"/>
          </w:rPr>
          <w:t>neutralizing</w:t>
        </w:r>
      </w:hyperlink>
      <w:r w:rsidRPr="00B9594C">
        <w:t xml:space="preserve"> it with a </w:t>
      </w:r>
      <w:hyperlink r:id="rId14" w:tooltip="Standard solution" w:history="1">
        <w:r w:rsidRPr="00B9594C">
          <w:rPr>
            <w:rStyle w:val="Hyperlink"/>
            <w:color w:val="auto"/>
            <w:u w:val="none"/>
          </w:rPr>
          <w:t>standard solution</w:t>
        </w:r>
      </w:hyperlink>
      <w:r w:rsidRPr="00B9594C">
        <w:t xml:space="preserve"> of base or acid having known concentration. A </w:t>
      </w:r>
      <w:hyperlink r:id="rId15" w:tooltip="PH indicator" w:history="1">
        <w:r w:rsidRPr="00B9594C">
          <w:rPr>
            <w:rStyle w:val="Hyperlink"/>
            <w:color w:val="auto"/>
            <w:u w:val="none"/>
          </w:rPr>
          <w:t>pH indicator</w:t>
        </w:r>
      </w:hyperlink>
      <w:r w:rsidRPr="00B9594C">
        <w:t xml:space="preserve"> is used to monitor the progress of the </w:t>
      </w:r>
      <w:hyperlink r:id="rId16" w:tooltip="Acid–base reaction" w:history="1">
        <w:r w:rsidRPr="00B9594C">
          <w:rPr>
            <w:rStyle w:val="Hyperlink"/>
            <w:color w:val="auto"/>
            <w:u w:val="none"/>
          </w:rPr>
          <w:t>acid–base reaction</w:t>
        </w:r>
      </w:hyperlink>
      <w:r w:rsidRPr="00B9594C">
        <w:t xml:space="preserve">. If the </w:t>
      </w:r>
      <w:hyperlink r:id="rId17" w:tooltip="Acid dissociation constant" w:history="1">
        <w:r w:rsidRPr="00B9594C">
          <w:rPr>
            <w:rStyle w:val="Hyperlink"/>
            <w:color w:val="auto"/>
            <w:u w:val="none"/>
          </w:rPr>
          <w:t>acid dissociation constant</w:t>
        </w:r>
      </w:hyperlink>
      <w:r w:rsidRPr="00B9594C">
        <w:t xml:space="preserve"> (p</w:t>
      </w:r>
      <w:r w:rsidRPr="00B9594C">
        <w:rPr>
          <w:i/>
          <w:iCs/>
        </w:rPr>
        <w:t>K</w:t>
      </w:r>
      <w:r w:rsidRPr="00B9594C">
        <w:rPr>
          <w:vertAlign w:val="subscript"/>
        </w:rPr>
        <w:t>a</w:t>
      </w:r>
      <w:r w:rsidRPr="00B9594C">
        <w:t>) of the acid or base dissociation constant (p</w:t>
      </w:r>
      <w:r w:rsidRPr="00B9594C">
        <w:rPr>
          <w:i/>
          <w:iCs/>
        </w:rPr>
        <w:t>K</w:t>
      </w:r>
      <w:r w:rsidRPr="00B9594C">
        <w:rPr>
          <w:vertAlign w:val="subscript"/>
        </w:rPr>
        <w:t>b</w:t>
      </w:r>
      <w:r w:rsidRPr="00B9594C">
        <w:t xml:space="preserve">) of base in the </w:t>
      </w:r>
      <w:hyperlink r:id="rId18" w:tooltip="Analyte" w:history="1">
        <w:r w:rsidRPr="00B9594C">
          <w:rPr>
            <w:rStyle w:val="Hyperlink"/>
            <w:color w:val="auto"/>
            <w:u w:val="none"/>
          </w:rPr>
          <w:t>analyte</w:t>
        </w:r>
      </w:hyperlink>
      <w:r w:rsidRPr="00B9594C">
        <w:t xml:space="preserve"> solution is known, its solution concentration (</w:t>
      </w:r>
      <w:hyperlink r:id="rId19" w:tooltip="Molarity" w:history="1">
        <w:r w:rsidRPr="00B9594C">
          <w:rPr>
            <w:rStyle w:val="Hyperlink"/>
            <w:color w:val="auto"/>
            <w:u w:val="none"/>
          </w:rPr>
          <w:t>molarity</w:t>
        </w:r>
      </w:hyperlink>
      <w:r w:rsidRPr="00B9594C">
        <w:t>) can be determined. Alternately, the p</w:t>
      </w:r>
      <w:r w:rsidRPr="00B9594C">
        <w:rPr>
          <w:i/>
          <w:iCs/>
        </w:rPr>
        <w:t>K</w:t>
      </w:r>
      <w:r w:rsidRPr="00B9594C">
        <w:rPr>
          <w:vertAlign w:val="subscript"/>
        </w:rPr>
        <w:t>a</w:t>
      </w:r>
      <w:r w:rsidRPr="00B9594C">
        <w:t xml:space="preserve"> can be determined if the analyte solution has a known solution concentration by constructing a </w:t>
      </w:r>
      <w:hyperlink r:id="rId20" w:tooltip="Titration curve" w:history="1">
        <w:r w:rsidRPr="00B9594C">
          <w:rPr>
            <w:rStyle w:val="Hyperlink"/>
            <w:color w:val="auto"/>
            <w:u w:val="none"/>
          </w:rPr>
          <w:t>titration curve</w:t>
        </w:r>
      </w:hyperlink>
      <w:r>
        <w:t>.</w:t>
      </w:r>
    </w:p>
    <w:p w:rsidR="000E6618" w:rsidRDefault="000E6618" w:rsidP="00B9594C">
      <w:pPr>
        <w:jc w:val="both"/>
        <w:rPr>
          <w:lang w:bidi="ar-IQ"/>
        </w:rPr>
      </w:pPr>
    </w:p>
    <w:p w:rsidR="000E6618" w:rsidRPr="000E6618" w:rsidRDefault="000E6618" w:rsidP="000E661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E6618">
        <w:rPr>
          <w:rFonts w:ascii="Times New Roman" w:eastAsia="Times New Roman" w:hAnsi="Times New Roman" w:cs="Times New Roman"/>
          <w:b/>
          <w:bCs/>
          <w:sz w:val="36"/>
          <w:szCs w:val="36"/>
        </w:rPr>
        <w:t>Alkalimetry and acidimetry</w:t>
      </w:r>
    </w:p>
    <w:p w:rsidR="000E6618" w:rsidRPr="000E6618" w:rsidRDefault="000E6618" w:rsidP="00FC2F46">
      <w:p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Alkalimetry and acidimetry are a kind of volumetric analysis in which the fundamental reaction is a neutralization reaction. Acidimetry is the specialized analytic use of acid-base titration to determine the concentration of a basic (synonymous to alkaline) substances using standard acid. Alkalimetry, is the same concept of specialized analytic acid-base titration, but for an acidic substance using standard base</w:t>
      </w:r>
      <w:r w:rsidR="00FC2F46">
        <w:rPr>
          <w:rFonts w:ascii="Times New Roman" w:eastAsia="Times New Roman" w:hAnsi="Times New Roman" w:cs="Times New Roman"/>
          <w:sz w:val="24"/>
          <w:szCs w:val="24"/>
        </w:rPr>
        <w:t>.</w:t>
      </w:r>
    </w:p>
    <w:p w:rsidR="000E6618" w:rsidRPr="000E6618" w:rsidRDefault="000E6618" w:rsidP="000E661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E6618">
        <w:rPr>
          <w:rFonts w:ascii="Times New Roman" w:eastAsia="Times New Roman" w:hAnsi="Times New Roman" w:cs="Times New Roman"/>
          <w:b/>
          <w:bCs/>
          <w:sz w:val="36"/>
          <w:szCs w:val="36"/>
        </w:rPr>
        <w:t>Indicator choice</w:t>
      </w:r>
    </w:p>
    <w:p w:rsidR="000E6618" w:rsidRPr="000E6618" w:rsidRDefault="000E6618" w:rsidP="000E6618">
      <w:pPr>
        <w:bidi w:val="0"/>
        <w:spacing w:after="0"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noProof/>
          <w:color w:val="0000FF"/>
          <w:sz w:val="24"/>
          <w:szCs w:val="24"/>
        </w:rPr>
        <w:drawing>
          <wp:inline distT="0" distB="0" distL="0" distR="0" wp14:anchorId="497F9B62" wp14:editId="3F78D5D2">
            <wp:extent cx="1901825" cy="2894965"/>
            <wp:effectExtent l="0" t="0" r="3175" b="635"/>
            <wp:docPr id="1" name="Picture 1" descr="C:\Users\AD4\Downloads\Acid–base titration - Wikipedia_files\200px-Phenolphthalein_in_Flask.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4\Downloads\Acid–base titration - Wikipedia_files\200px-Phenolphthalein_in_Flask.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2894965"/>
                    </a:xfrm>
                    <a:prstGeom prst="rect">
                      <a:avLst/>
                    </a:prstGeom>
                    <a:noFill/>
                    <a:ln>
                      <a:noFill/>
                    </a:ln>
                  </pic:spPr>
                </pic:pic>
              </a:graphicData>
            </a:graphic>
          </wp:inline>
        </w:drawing>
      </w:r>
    </w:p>
    <w:p w:rsidR="000E6618" w:rsidRPr="000E6618" w:rsidRDefault="000E6618" w:rsidP="000E6618">
      <w:pPr>
        <w:bidi w:val="0"/>
        <w:spacing w:after="0"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An acid–base titration using phenolphthalein as the indicator. The conical flask contained solution that just reached the endpoint.</w:t>
      </w:r>
    </w:p>
    <w:p w:rsidR="000E6618" w:rsidRPr="000E6618" w:rsidRDefault="000E6618" w:rsidP="000E6618">
      <w:p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 xml:space="preserve">A suitable pH indicator must be chosen in order to detect the end point of the titration. The colour change or other effect should occur close to the </w:t>
      </w:r>
      <w:hyperlink r:id="rId23" w:tooltip="Equivalence point" w:history="1">
        <w:r w:rsidRPr="000E6618">
          <w:rPr>
            <w:rFonts w:ascii="Times New Roman" w:eastAsia="Times New Roman" w:hAnsi="Times New Roman" w:cs="Times New Roman"/>
            <w:color w:val="0000FF"/>
            <w:sz w:val="24"/>
            <w:szCs w:val="24"/>
            <w:u w:val="single"/>
          </w:rPr>
          <w:t>equivalence point</w:t>
        </w:r>
      </w:hyperlink>
      <w:r w:rsidRPr="000E6618">
        <w:rPr>
          <w:rFonts w:ascii="Times New Roman" w:eastAsia="Times New Roman" w:hAnsi="Times New Roman" w:cs="Times New Roman"/>
          <w:sz w:val="24"/>
          <w:szCs w:val="24"/>
        </w:rPr>
        <w:t xml:space="preserve"> of the reaction so that the experimenter can accurately determine when that point is reached. The pH of the equivalence point can be </w:t>
      </w:r>
      <w:hyperlink r:id="rId24" w:tooltip="Approximation" w:history="1">
        <w:r w:rsidRPr="000E6618">
          <w:rPr>
            <w:rFonts w:ascii="Times New Roman" w:eastAsia="Times New Roman" w:hAnsi="Times New Roman" w:cs="Times New Roman"/>
            <w:color w:val="0000FF"/>
            <w:sz w:val="24"/>
            <w:szCs w:val="24"/>
            <w:u w:val="single"/>
          </w:rPr>
          <w:t>estimated</w:t>
        </w:r>
      </w:hyperlink>
      <w:r w:rsidRPr="000E6618">
        <w:rPr>
          <w:rFonts w:ascii="Times New Roman" w:eastAsia="Times New Roman" w:hAnsi="Times New Roman" w:cs="Times New Roman"/>
          <w:sz w:val="24"/>
          <w:szCs w:val="24"/>
        </w:rPr>
        <w:t xml:space="preserve"> using the following rules: </w:t>
      </w:r>
    </w:p>
    <w:p w:rsidR="000E6618" w:rsidRPr="000E6618" w:rsidRDefault="000E6618" w:rsidP="000E661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lastRenderedPageBreak/>
        <w:t>A strong acid will react with a strong base to form a neutral (pH = 7) solution.</w:t>
      </w:r>
    </w:p>
    <w:p w:rsidR="000E6618" w:rsidRPr="000E6618" w:rsidRDefault="000E6618" w:rsidP="000E661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A strong acid will react with a weak base to form an acidic (pH &lt; 7) solution.</w:t>
      </w:r>
    </w:p>
    <w:p w:rsidR="000E6618" w:rsidRPr="000E6618" w:rsidRDefault="000E6618" w:rsidP="000E6618">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A weak acid will react with a strong base to form a basic (pH &gt; 7) solution.</w:t>
      </w:r>
    </w:p>
    <w:p w:rsidR="000E6618" w:rsidRPr="000E6618" w:rsidRDefault="000E6618" w:rsidP="000E6618">
      <w:p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 xml:space="preserve">When a weak acid reacts with a weak base, the equivalence point solution will be basic if the base is stronger and acidic if the acid is stronger. If both are of equal strength, then the equivalence pH will be neutral. However, weak acids are not often titrated against weak bases because the colour change shown with the indicator is often quick, and therefore very difficult for the observer to see the change of colour. </w:t>
      </w:r>
    </w:p>
    <w:p w:rsidR="000E6618" w:rsidRPr="000E6618" w:rsidRDefault="000E6618" w:rsidP="000E6618">
      <w:p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 xml:space="preserve">The point at which the indicator changes colour is called the </w:t>
      </w:r>
      <w:r w:rsidRPr="000E6618">
        <w:rPr>
          <w:rFonts w:ascii="Times New Roman" w:eastAsia="Times New Roman" w:hAnsi="Times New Roman" w:cs="Times New Roman"/>
          <w:i/>
          <w:iCs/>
          <w:sz w:val="24"/>
          <w:szCs w:val="24"/>
        </w:rPr>
        <w:t>end point</w:t>
      </w:r>
      <w:r w:rsidRPr="000E6618">
        <w:rPr>
          <w:rFonts w:ascii="Times New Roman" w:eastAsia="Times New Roman" w:hAnsi="Times New Roman" w:cs="Times New Roman"/>
          <w:sz w:val="24"/>
          <w:szCs w:val="24"/>
        </w:rPr>
        <w:t xml:space="preserve">. A suitable indicator should be chosen, preferably one that will experience a change in colour (an end point) close to the equivalence point of the reaction. </w:t>
      </w:r>
    </w:p>
    <w:p w:rsidR="000E6618" w:rsidRPr="000E6618" w:rsidRDefault="000E6618" w:rsidP="000E6618">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0E6618">
        <w:rPr>
          <w:rFonts w:ascii="Times New Roman" w:eastAsia="Times New Roman" w:hAnsi="Times New Roman" w:cs="Times New Roman"/>
          <w:b/>
          <w:bCs/>
          <w:sz w:val="36"/>
          <w:szCs w:val="36"/>
        </w:rPr>
        <w:t>Mathematical analysis: titration of weak acid</w:t>
      </w:r>
    </w:p>
    <w:p w:rsidR="000E6618" w:rsidRPr="000E6618" w:rsidRDefault="000E6618" w:rsidP="000E6618">
      <w:pPr>
        <w:bidi w:val="0"/>
        <w:spacing w:after="0"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noProof/>
          <w:color w:val="0000FF"/>
          <w:sz w:val="24"/>
          <w:szCs w:val="24"/>
        </w:rPr>
        <w:drawing>
          <wp:inline distT="0" distB="0" distL="0" distR="0" wp14:anchorId="4DD825A7" wp14:editId="78296835">
            <wp:extent cx="3809365" cy="2760345"/>
            <wp:effectExtent l="0" t="0" r="635" b="1905"/>
            <wp:docPr id="2" name="Picture 2" descr="Titration of weak acid with strong base">
              <a:hlinkClick xmlns:a="http://schemas.openxmlformats.org/drawingml/2006/main" r:id="rId25" tooltip="&quot;Titration of weak acid with strong b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ration of weak acid with strong base">
                      <a:hlinkClick r:id="rId25" tooltip="&quot;Titration of weak acid with strong bas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9365" cy="2760345"/>
                    </a:xfrm>
                    <a:prstGeom prst="rect">
                      <a:avLst/>
                    </a:prstGeom>
                    <a:noFill/>
                    <a:ln>
                      <a:noFill/>
                    </a:ln>
                  </pic:spPr>
                </pic:pic>
              </a:graphicData>
            </a:graphic>
          </wp:inline>
        </w:drawing>
      </w:r>
    </w:p>
    <w:p w:rsidR="000E6618" w:rsidRPr="000E6618" w:rsidRDefault="000E6618" w:rsidP="00E131D6">
      <w:p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 xml:space="preserve">The pH of a </w:t>
      </w:r>
      <w:hyperlink r:id="rId27" w:tooltip="Weak acid" w:history="1">
        <w:r w:rsidRPr="000E6618">
          <w:rPr>
            <w:rFonts w:ascii="Times New Roman" w:eastAsia="Times New Roman" w:hAnsi="Times New Roman" w:cs="Times New Roman"/>
            <w:color w:val="0000FF"/>
            <w:sz w:val="24"/>
            <w:szCs w:val="24"/>
            <w:u w:val="single"/>
          </w:rPr>
          <w:t>weak acid</w:t>
        </w:r>
      </w:hyperlink>
      <w:r w:rsidRPr="000E6618">
        <w:rPr>
          <w:rFonts w:ascii="Times New Roman" w:eastAsia="Times New Roman" w:hAnsi="Times New Roman" w:cs="Times New Roman"/>
          <w:sz w:val="24"/>
          <w:szCs w:val="24"/>
        </w:rPr>
        <w:t xml:space="preserve"> solution being titrated with a strong base solution can be found at different points along the way. These points fall into one of four categories</w:t>
      </w:r>
      <w:r w:rsidR="00E131D6">
        <w:rPr>
          <w:rFonts w:ascii="Times New Roman" w:eastAsia="Times New Roman" w:hAnsi="Times New Roman" w:cs="Times New Roman"/>
          <w:sz w:val="24"/>
          <w:szCs w:val="24"/>
        </w:rPr>
        <w:t>.</w:t>
      </w:r>
      <w:r w:rsidRPr="000E6618">
        <w:rPr>
          <w:rFonts w:ascii="Times New Roman" w:eastAsia="Times New Roman" w:hAnsi="Times New Roman" w:cs="Times New Roman"/>
          <w:sz w:val="24"/>
          <w:szCs w:val="24"/>
        </w:rPr>
        <w:t xml:space="preserve"> </w:t>
      </w:r>
    </w:p>
    <w:p w:rsidR="000E6618" w:rsidRPr="000E6618" w:rsidRDefault="000E6618" w:rsidP="000E661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initial pH</w:t>
      </w:r>
    </w:p>
    <w:p w:rsidR="000E6618" w:rsidRPr="000E6618" w:rsidRDefault="000E6618" w:rsidP="000E661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pH before the equivalence point</w:t>
      </w:r>
    </w:p>
    <w:p w:rsidR="000E6618" w:rsidRPr="000E6618" w:rsidRDefault="000E6618" w:rsidP="000E661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pH at the equivalence point</w:t>
      </w:r>
    </w:p>
    <w:p w:rsidR="000E6618" w:rsidRPr="000E6618" w:rsidRDefault="000E6618" w:rsidP="000E6618">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0E6618">
        <w:rPr>
          <w:rFonts w:ascii="Times New Roman" w:eastAsia="Times New Roman" w:hAnsi="Times New Roman" w:cs="Times New Roman"/>
          <w:sz w:val="24"/>
          <w:szCs w:val="24"/>
        </w:rPr>
        <w:t>pH after the equivalence point</w:t>
      </w:r>
    </w:p>
    <w:p w:rsidR="000E6618" w:rsidRPr="000E6618" w:rsidRDefault="000E6618" w:rsidP="00B9594C">
      <w:pPr>
        <w:jc w:val="both"/>
        <w:rPr>
          <w:rtl/>
          <w:lang w:bidi="ar-IQ"/>
        </w:rPr>
      </w:pPr>
    </w:p>
    <w:p w:rsidR="00A63D27" w:rsidRDefault="00B9594C" w:rsidP="00B9594C">
      <w:pPr>
        <w:jc w:val="both"/>
        <w:rPr>
          <w:lang w:bidi="ar-IQ"/>
        </w:rPr>
      </w:pPr>
      <w:r>
        <w:t xml:space="preserve">                                      </w:t>
      </w:r>
    </w:p>
    <w:sectPr w:rsidR="00A63D27" w:rsidSect="00DC5DB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21" w:rsidRDefault="00A03321" w:rsidP="000812FE">
      <w:pPr>
        <w:spacing w:after="0" w:line="240" w:lineRule="auto"/>
      </w:pPr>
      <w:r>
        <w:separator/>
      </w:r>
    </w:p>
  </w:endnote>
  <w:endnote w:type="continuationSeparator" w:id="0">
    <w:p w:rsidR="00A03321" w:rsidRDefault="00A03321" w:rsidP="0008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21" w:rsidRDefault="00A03321" w:rsidP="000812FE">
      <w:pPr>
        <w:spacing w:after="0" w:line="240" w:lineRule="auto"/>
      </w:pPr>
      <w:r>
        <w:separator/>
      </w:r>
    </w:p>
  </w:footnote>
  <w:footnote w:type="continuationSeparator" w:id="0">
    <w:p w:rsidR="00A03321" w:rsidRDefault="00A03321" w:rsidP="00081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436"/>
    <w:multiLevelType w:val="multilevel"/>
    <w:tmpl w:val="95E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E677D"/>
    <w:multiLevelType w:val="multilevel"/>
    <w:tmpl w:val="C51A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CA"/>
    <w:rsid w:val="000812FE"/>
    <w:rsid w:val="000E6618"/>
    <w:rsid w:val="005C2737"/>
    <w:rsid w:val="00A03321"/>
    <w:rsid w:val="00A63D27"/>
    <w:rsid w:val="00B9594C"/>
    <w:rsid w:val="00C03FCA"/>
    <w:rsid w:val="00DC5DBB"/>
    <w:rsid w:val="00E131D6"/>
    <w:rsid w:val="00FC2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737"/>
    <w:rPr>
      <w:color w:val="0000FF"/>
      <w:u w:val="single"/>
    </w:rPr>
  </w:style>
  <w:style w:type="paragraph" w:styleId="BalloonText">
    <w:name w:val="Balloon Text"/>
    <w:basedOn w:val="Normal"/>
    <w:link w:val="BalloonTextChar"/>
    <w:uiPriority w:val="99"/>
    <w:semiHidden/>
    <w:unhideWhenUsed/>
    <w:rsid w:val="000E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18"/>
    <w:rPr>
      <w:rFonts w:ascii="Tahoma" w:hAnsi="Tahoma" w:cs="Tahoma"/>
      <w:sz w:val="16"/>
      <w:szCs w:val="16"/>
    </w:rPr>
  </w:style>
  <w:style w:type="paragraph" w:styleId="Header">
    <w:name w:val="header"/>
    <w:basedOn w:val="Normal"/>
    <w:link w:val="HeaderChar"/>
    <w:uiPriority w:val="99"/>
    <w:unhideWhenUsed/>
    <w:rsid w:val="0008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FE"/>
  </w:style>
  <w:style w:type="paragraph" w:styleId="Footer">
    <w:name w:val="footer"/>
    <w:basedOn w:val="Normal"/>
    <w:link w:val="FooterChar"/>
    <w:uiPriority w:val="99"/>
    <w:unhideWhenUsed/>
    <w:rsid w:val="0008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737"/>
    <w:rPr>
      <w:color w:val="0000FF"/>
      <w:u w:val="single"/>
    </w:rPr>
  </w:style>
  <w:style w:type="paragraph" w:styleId="BalloonText">
    <w:name w:val="Balloon Text"/>
    <w:basedOn w:val="Normal"/>
    <w:link w:val="BalloonTextChar"/>
    <w:uiPriority w:val="99"/>
    <w:semiHidden/>
    <w:unhideWhenUsed/>
    <w:rsid w:val="000E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18"/>
    <w:rPr>
      <w:rFonts w:ascii="Tahoma" w:hAnsi="Tahoma" w:cs="Tahoma"/>
      <w:sz w:val="16"/>
      <w:szCs w:val="16"/>
    </w:rPr>
  </w:style>
  <w:style w:type="paragraph" w:styleId="Header">
    <w:name w:val="header"/>
    <w:basedOn w:val="Normal"/>
    <w:link w:val="HeaderChar"/>
    <w:uiPriority w:val="99"/>
    <w:unhideWhenUsed/>
    <w:rsid w:val="0008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2FE"/>
  </w:style>
  <w:style w:type="paragraph" w:styleId="Footer">
    <w:name w:val="footer"/>
    <w:basedOn w:val="Normal"/>
    <w:link w:val="FooterChar"/>
    <w:uiPriority w:val="99"/>
    <w:unhideWhenUsed/>
    <w:rsid w:val="0008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8356">
      <w:bodyDiv w:val="1"/>
      <w:marLeft w:val="0"/>
      <w:marRight w:val="0"/>
      <w:marTop w:val="0"/>
      <w:marBottom w:val="0"/>
      <w:divBdr>
        <w:top w:val="none" w:sz="0" w:space="0" w:color="auto"/>
        <w:left w:val="none" w:sz="0" w:space="0" w:color="auto"/>
        <w:bottom w:val="none" w:sz="0" w:space="0" w:color="auto"/>
        <w:right w:val="none" w:sz="0" w:space="0" w:color="auto"/>
      </w:divBdr>
      <w:divsChild>
        <w:div w:id="1666123972">
          <w:marLeft w:val="0"/>
          <w:marRight w:val="0"/>
          <w:marTop w:val="0"/>
          <w:marBottom w:val="0"/>
          <w:divBdr>
            <w:top w:val="none" w:sz="0" w:space="0" w:color="auto"/>
            <w:left w:val="none" w:sz="0" w:space="0" w:color="auto"/>
            <w:bottom w:val="none" w:sz="0" w:space="0" w:color="auto"/>
            <w:right w:val="none" w:sz="0" w:space="0" w:color="auto"/>
          </w:divBdr>
        </w:div>
        <w:div w:id="360782760">
          <w:marLeft w:val="0"/>
          <w:marRight w:val="0"/>
          <w:marTop w:val="0"/>
          <w:marBottom w:val="0"/>
          <w:divBdr>
            <w:top w:val="none" w:sz="0" w:space="0" w:color="auto"/>
            <w:left w:val="none" w:sz="0" w:space="0" w:color="auto"/>
            <w:bottom w:val="none" w:sz="0" w:space="0" w:color="auto"/>
            <w:right w:val="none" w:sz="0" w:space="0" w:color="auto"/>
          </w:divBdr>
          <w:divsChild>
            <w:div w:id="637609664">
              <w:marLeft w:val="0"/>
              <w:marRight w:val="0"/>
              <w:marTop w:val="0"/>
              <w:marBottom w:val="0"/>
              <w:divBdr>
                <w:top w:val="none" w:sz="0" w:space="0" w:color="auto"/>
                <w:left w:val="none" w:sz="0" w:space="0" w:color="auto"/>
                <w:bottom w:val="none" w:sz="0" w:space="0" w:color="auto"/>
                <w:right w:val="none" w:sz="0" w:space="0" w:color="auto"/>
              </w:divBdr>
              <w:divsChild>
                <w:div w:id="15386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tration" TargetMode="External"/><Relationship Id="rId13" Type="http://schemas.openxmlformats.org/officeDocument/2006/relationships/hyperlink" Target="https://en.wikipedia.org/wiki/Neutralization_reaction" TargetMode="External"/><Relationship Id="rId18" Type="http://schemas.openxmlformats.org/officeDocument/2006/relationships/hyperlink" Target="https://en.wikipedia.org/wiki/Analyte"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en.wikipedia.org/wiki/File:Phenolphthalein_in_Flask.jpg" TargetMode="External"/><Relationship Id="rId7" Type="http://schemas.openxmlformats.org/officeDocument/2006/relationships/endnotes" Target="endnotes.xml"/><Relationship Id="rId12" Type="http://schemas.openxmlformats.org/officeDocument/2006/relationships/hyperlink" Target="https://en.wikipedia.org/wiki/Base_(chemistry)" TargetMode="External"/><Relationship Id="rId17" Type="http://schemas.openxmlformats.org/officeDocument/2006/relationships/hyperlink" Target="https://en.wikipedia.org/wiki/Acid_dissociation_constant" TargetMode="External"/><Relationship Id="rId25" Type="http://schemas.openxmlformats.org/officeDocument/2006/relationships/hyperlink" Target="https://en.wikipedia.org/wiki/File:Titration_of_weak_acid_with_strong_base.PNG" TargetMode="External"/><Relationship Id="rId2" Type="http://schemas.openxmlformats.org/officeDocument/2006/relationships/styles" Target="styles.xml"/><Relationship Id="rId16" Type="http://schemas.openxmlformats.org/officeDocument/2006/relationships/hyperlink" Target="https://en.wikipedia.org/wiki/Acid%E2%80%93base_reaction" TargetMode="External"/><Relationship Id="rId20" Type="http://schemas.openxmlformats.org/officeDocument/2006/relationships/hyperlink" Target="https://en.wikipedia.org/wiki/Titration_cur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Acid" TargetMode="External"/><Relationship Id="rId24" Type="http://schemas.openxmlformats.org/officeDocument/2006/relationships/hyperlink" Target="https://en.wikipedia.org/wiki/Approximation" TargetMode="External"/><Relationship Id="rId5" Type="http://schemas.openxmlformats.org/officeDocument/2006/relationships/webSettings" Target="webSettings.xml"/><Relationship Id="rId15" Type="http://schemas.openxmlformats.org/officeDocument/2006/relationships/hyperlink" Target="https://en.wikipedia.org/wiki/PH_indicator" TargetMode="External"/><Relationship Id="rId23" Type="http://schemas.openxmlformats.org/officeDocument/2006/relationships/hyperlink" Target="https://en.wikipedia.org/wiki/Equivalence_point" TargetMode="External"/><Relationship Id="rId28" Type="http://schemas.openxmlformats.org/officeDocument/2006/relationships/fontTable" Target="fontTable.xml"/><Relationship Id="rId10" Type="http://schemas.openxmlformats.org/officeDocument/2006/relationships/hyperlink" Target="https://en.wikipedia.org/wiki/Concentration" TargetMode="External"/><Relationship Id="rId19" Type="http://schemas.openxmlformats.org/officeDocument/2006/relationships/hyperlink" Target="https://en.wikipedia.org/wiki/Molarity" TargetMode="External"/><Relationship Id="rId4" Type="http://schemas.openxmlformats.org/officeDocument/2006/relationships/settings" Target="settings.xml"/><Relationship Id="rId9" Type="http://schemas.openxmlformats.org/officeDocument/2006/relationships/hyperlink" Target="https://en.wikipedia.org/wiki/Quantitative_analysis_(chemistry)" TargetMode="External"/><Relationship Id="rId14" Type="http://schemas.openxmlformats.org/officeDocument/2006/relationships/hyperlink" Target="https://en.wikipedia.org/wiki/Standard_solution" TargetMode="External"/><Relationship Id="rId22" Type="http://schemas.openxmlformats.org/officeDocument/2006/relationships/image" Target="media/image1.jpeg"/><Relationship Id="rId27" Type="http://schemas.openxmlformats.org/officeDocument/2006/relationships/hyperlink" Target="https://en.wikipedia.org/wiki/Weak_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AD4</dc:creator>
  <cp:keywords/>
  <dc:description/>
  <cp:lastModifiedBy>AD4</cp:lastModifiedBy>
  <cp:revision>14</cp:revision>
  <dcterms:created xsi:type="dcterms:W3CDTF">2022-05-13T13:05:00Z</dcterms:created>
  <dcterms:modified xsi:type="dcterms:W3CDTF">2022-05-25T21:46:00Z</dcterms:modified>
</cp:coreProperties>
</file>