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:الالعاب الجماعية</w:t>
      </w:r>
    </w:p>
    <w:p w:rsidR="006B508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:التربية البدنية والعلوم الرياضية</w:t>
      </w:r>
    </w:p>
    <w:p w:rsidR="006B508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:صلاح الدين</w:t>
      </w:r>
    </w:p>
    <w:p w:rsidR="006B508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23194F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كرة السله</w:t>
      </w:r>
    </w:p>
    <w:p w:rsidR="006B508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مرحلة</w:t>
      </w:r>
      <w:r>
        <w:rPr>
          <w:rFonts w:hint="cs"/>
          <w:b/>
          <w:bCs/>
          <w:sz w:val="44"/>
          <w:szCs w:val="44"/>
          <w:rtl/>
          <w:lang w:bidi="ar-IQ"/>
        </w:rPr>
        <w:t>2)</w:t>
      </w:r>
    </w:p>
    <w:p w:rsidR="006B5084" w:rsidRPr="0023194F" w:rsidRDefault="006B5084" w:rsidP="0023194F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350F4A">
        <w:rPr>
          <w:rFonts w:cs="Times New Roman" w:hint="cs"/>
          <w:b/>
          <w:bCs/>
          <w:sz w:val="44"/>
          <w:szCs w:val="44"/>
          <w:rtl/>
          <w:lang w:bidi="ar-IQ"/>
        </w:rPr>
        <w:t xml:space="preserve"> : أ.م.اورينك صابر اسعد</w:t>
      </w:r>
    </w:p>
    <w:p w:rsidR="006B5084" w:rsidRPr="006B5084" w:rsidRDefault="006B5084" w:rsidP="0023194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مثال </w:t>
      </w:r>
      <w:r>
        <w:rPr>
          <w:rFonts w:hint="cs"/>
          <w:b/>
          <w:bCs/>
          <w:sz w:val="44"/>
          <w:szCs w:val="44"/>
          <w:rtl/>
          <w:lang w:bidi="ar-IQ"/>
        </w:rPr>
        <w:t>201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7</w:t>
      </w:r>
      <w:r>
        <w:rPr>
          <w:rFonts w:hint="cs"/>
          <w:b/>
          <w:bCs/>
          <w:sz w:val="44"/>
          <w:szCs w:val="44"/>
          <w:rtl/>
          <w:lang w:bidi="ar-IQ"/>
        </w:rPr>
        <w:t>/ 201</w:t>
      </w:r>
      <w:r w:rsidR="0023194F">
        <w:rPr>
          <w:rFonts w:hint="cs"/>
          <w:b/>
          <w:bCs/>
          <w:sz w:val="44"/>
          <w:szCs w:val="44"/>
          <w:rtl/>
          <w:lang w:bidi="ar-IQ"/>
        </w:rPr>
        <w:t>8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23194F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كرة السله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23194F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أ.م.</w:t>
            </w:r>
            <w:r w:rsidR="00350F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اورينك صابر اسعد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23194F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الالعاب الجماعية /التربية البدنية والعلوم الرياضية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23194F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="002319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r w:rsidR="002319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</w:p>
          <w:p w:rsidR="00350F4A" w:rsidRDefault="00350F4A" w:rsidP="00350F4A">
            <w:pPr>
              <w:bidi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awring.asead1@su.edu.krd</w:t>
            </w:r>
          </w:p>
          <w:p w:rsidR="0023194F" w:rsidRDefault="0023194F" w:rsidP="0023194F">
            <w:pPr>
              <w:bidi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B6542D" w:rsidRDefault="00B6542D" w:rsidP="00900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2319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</w:t>
            </w:r>
            <w:r w:rsidR="009007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4524700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59508C" w:rsidRPr="0059508C" w:rsidRDefault="0023194F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النظري </w:t>
            </w:r>
          </w:p>
          <w:p w:rsidR="000D03E0" w:rsidRDefault="0023194F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10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2319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20 ساعات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022DB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هنا يذكر التدريسي اي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موقع الكتروني او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blog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Moodle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بضعة فقرات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يلقي </w:t>
            </w:r>
            <w:r w:rsidR="00953B35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فيها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الضو</w:t>
            </w:r>
            <w:r w:rsidR="000D03E0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على</w:t>
            </w:r>
            <w:r w:rsidR="000A293F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حياته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لايقل عن ١٠٠ كلمة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الاول</w:t>
            </w:r>
          </w:p>
          <w:p w:rsid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نبذة تاربخبة عن كرة السلة وكيفية انتشارها حول العالم ودخولها الى العراق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الثاني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وقفة الاستعداد وكيفية مسك الكر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الثالث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التوقف بعدة واحدة والتوقف بعدتين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الرابع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الدوران مع الارتكاز  اعادة مناولات اعلاه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الاسبوع الخامس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المناولات بانواعها ( الصدربة  المرتدة  فوق الراس الطويلة بيد الواحدة)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السادس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المناولة من الحركة بانواعها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السابع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اعادة دمج التوقف والدوران مع المناولات</w:t>
            </w:r>
          </w:p>
          <w:p w:rsid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الثامن</w:t>
            </w:r>
          </w:p>
          <w:p w:rsidR="00B72339" w:rsidRPr="00B72339" w:rsidRDefault="00B72339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233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الطبطبة  الواطئة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التاسع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الطبطبة العالية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العاشر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دمج الطبطبة مع المناولات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الحادي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اعطائ تمارين متنوعة ومركبة لتطوير المهارات المناولة واستلام و المناولة والطبطبة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الثاني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اجراء الامتحان لفصل الاول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الثالث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التهديف  من الثبات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الرابع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التهديف بلقفز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الخامس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التهديف السلمي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السادس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اعادة انواع التهديف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الاسبوع السابع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دمج المناولة والطبطبة مع انواع التهديف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الثامن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الخداع بلكرة وبدون الكرة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التاسع عشر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الدفاع ( حركة الرجلين و الذراعين) 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العشرون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الدفاع ضد الالمناولة و الطبطبة والتهديف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واحد والعشرون</w:t>
            </w:r>
          </w:p>
          <w:p w:rsidR="00244CFA" w:rsidRPr="00244CFA" w:rsidRDefault="00244CFA" w:rsidP="00244CF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44CF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اجراء الامتحان لفصل الثاني</w:t>
            </w:r>
          </w:p>
          <w:p w:rsidR="00B72339" w:rsidRPr="00B72339" w:rsidRDefault="00B72339" w:rsidP="00B723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B72339" w:rsidRDefault="00244CFA" w:rsidP="00244CFA">
            <w:pPr>
              <w:tabs>
                <w:tab w:val="left" w:pos="692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</w:p>
          <w:p w:rsidR="008D46A4" w:rsidRPr="00EC388C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EC388C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Pr="00EC388C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مالايقل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C388C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C2" w:rsidRDefault="003F0DC2" w:rsidP="00483DD0">
      <w:pPr>
        <w:spacing w:after="0" w:line="240" w:lineRule="auto"/>
      </w:pPr>
      <w:r>
        <w:separator/>
      </w:r>
    </w:p>
  </w:endnote>
  <w:endnote w:type="continuationSeparator" w:id="1">
    <w:p w:rsidR="003F0DC2" w:rsidRDefault="003F0DC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C2" w:rsidRDefault="003F0DC2" w:rsidP="00483DD0">
      <w:pPr>
        <w:spacing w:after="0" w:line="240" w:lineRule="auto"/>
      </w:pPr>
      <w:r>
        <w:separator/>
      </w:r>
    </w:p>
  </w:footnote>
  <w:footnote w:type="continuationSeparator" w:id="1">
    <w:p w:rsidR="003F0DC2" w:rsidRDefault="003F0DC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64460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194F"/>
    <w:rsid w:val="00236016"/>
    <w:rsid w:val="00244CFA"/>
    <w:rsid w:val="0025284B"/>
    <w:rsid w:val="002F44B8"/>
    <w:rsid w:val="00305BAF"/>
    <w:rsid w:val="00350F4A"/>
    <w:rsid w:val="003B2F27"/>
    <w:rsid w:val="003B3BBA"/>
    <w:rsid w:val="003F0DC2"/>
    <w:rsid w:val="003F6A58"/>
    <w:rsid w:val="0040102E"/>
    <w:rsid w:val="00441BF4"/>
    <w:rsid w:val="00483DD0"/>
    <w:rsid w:val="00496757"/>
    <w:rsid w:val="004B0808"/>
    <w:rsid w:val="004C5B56"/>
    <w:rsid w:val="004D421F"/>
    <w:rsid w:val="00517B2D"/>
    <w:rsid w:val="00533ACD"/>
    <w:rsid w:val="00542B94"/>
    <w:rsid w:val="00582D81"/>
    <w:rsid w:val="0059508C"/>
    <w:rsid w:val="005E25AC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700C17"/>
    <w:rsid w:val="00756916"/>
    <w:rsid w:val="007745D9"/>
    <w:rsid w:val="007C34B8"/>
    <w:rsid w:val="007C58EC"/>
    <w:rsid w:val="007F0899"/>
    <w:rsid w:val="0080086A"/>
    <w:rsid w:val="008022DB"/>
    <w:rsid w:val="00807092"/>
    <w:rsid w:val="00830EE6"/>
    <w:rsid w:val="0086310E"/>
    <w:rsid w:val="008730C5"/>
    <w:rsid w:val="008772A6"/>
    <w:rsid w:val="008C630A"/>
    <w:rsid w:val="008D46A4"/>
    <w:rsid w:val="008D537E"/>
    <w:rsid w:val="009007AF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5E98"/>
    <w:rsid w:val="00AD68F9"/>
    <w:rsid w:val="00B07BAD"/>
    <w:rsid w:val="00B341B9"/>
    <w:rsid w:val="00B6542D"/>
    <w:rsid w:val="00B716D3"/>
    <w:rsid w:val="00B72339"/>
    <w:rsid w:val="00B916A8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C5CD1"/>
    <w:rsid w:val="00CE4F10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High Tech</cp:lastModifiedBy>
  <cp:revision>4</cp:revision>
  <cp:lastPrinted>2015-10-11T06:39:00Z</cp:lastPrinted>
  <dcterms:created xsi:type="dcterms:W3CDTF">2018-01-02T22:02:00Z</dcterms:created>
  <dcterms:modified xsi:type="dcterms:W3CDTF">2018-01-02T22:09:00Z</dcterms:modified>
</cp:coreProperties>
</file>