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40" w:rsidRPr="00683313" w:rsidRDefault="005C5340" w:rsidP="00683313">
      <w:pPr>
        <w:spacing w:before="288" w:after="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683313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What is PCR?</w:t>
      </w:r>
    </w:p>
    <w:p w:rsidR="005C5340" w:rsidRPr="00664B50" w:rsidRDefault="00683313" w:rsidP="007C08D6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64B50"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  <w:r w:rsidR="005C5340" w:rsidRPr="00664B50">
        <w:rPr>
          <w:rFonts w:asciiTheme="majorBidi" w:eastAsia="Times New Roman" w:hAnsiTheme="majorBidi" w:cstheme="majorBidi"/>
          <w:sz w:val="28"/>
          <w:szCs w:val="28"/>
        </w:rPr>
        <w:t xml:space="preserve">The polymerase chain reaction (PCR) was originally developed in 1983 by the American biochemist </w:t>
      </w:r>
      <w:proofErr w:type="spellStart"/>
      <w:r w:rsidR="005C5340" w:rsidRPr="00664B50">
        <w:rPr>
          <w:rFonts w:asciiTheme="majorBidi" w:eastAsia="Times New Roman" w:hAnsiTheme="majorBidi" w:cstheme="majorBidi"/>
          <w:sz w:val="28"/>
          <w:szCs w:val="28"/>
        </w:rPr>
        <w:t>Kary</w:t>
      </w:r>
      <w:proofErr w:type="spellEnd"/>
      <w:r w:rsidR="005C5340" w:rsidRPr="00664B50">
        <w:rPr>
          <w:rFonts w:asciiTheme="majorBidi" w:eastAsia="Times New Roman" w:hAnsiTheme="majorBidi" w:cstheme="majorBidi"/>
          <w:sz w:val="28"/>
          <w:szCs w:val="28"/>
        </w:rPr>
        <w:t xml:space="preserve"> Mullis. He was awarded the Nobel Prize in Chemistry in 1993 for his pioneering work.</w:t>
      </w:r>
    </w:p>
    <w:p w:rsidR="005C5340" w:rsidRDefault="005C5340" w:rsidP="00664B50">
      <w:pPr>
        <w:shd w:val="clear" w:color="auto" w:fill="FAFFFD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1D15F4">
        <w:rPr>
          <w:rFonts w:asciiTheme="majorBidi" w:eastAsia="Times New Roman" w:hAnsiTheme="majorBidi" w:cstheme="majorBidi"/>
          <w:sz w:val="28"/>
          <w:szCs w:val="28"/>
        </w:rPr>
        <w:t>PCR is used in molecular biology to make many copies of small sections of </w:t>
      </w:r>
      <w:hyperlink r:id="rId6" w:tooltip="A long molecule that contains our unique genetic code. It holds the instructions for making all the proteins in our bodies." w:history="1">
        <w:r w:rsidRPr="001D15F4">
          <w:rPr>
            <w:rFonts w:asciiTheme="majorBidi" w:eastAsia="Times New Roman" w:hAnsiTheme="majorBidi" w:cstheme="majorBidi"/>
            <w:sz w:val="28"/>
            <w:szCs w:val="28"/>
          </w:rPr>
          <w:t>DNA</w:t>
        </w:r>
      </w:hyperlink>
      <w:r w:rsidRPr="001D15F4">
        <w:rPr>
          <w:rFonts w:asciiTheme="majorBidi" w:eastAsia="Times New Roman" w:hAnsiTheme="majorBidi" w:cstheme="majorBidi"/>
          <w:sz w:val="28"/>
          <w:szCs w:val="28"/>
        </w:rPr>
        <w:t> or a </w:t>
      </w:r>
      <w:r w:rsidR="00664B50" w:rsidRPr="001D15F4">
        <w:rPr>
          <w:rFonts w:asciiTheme="majorBidi" w:eastAsia="Times New Roman" w:hAnsiTheme="majorBidi" w:cstheme="majorBidi"/>
          <w:sz w:val="28"/>
          <w:szCs w:val="28"/>
        </w:rPr>
        <w:t>gene</w:t>
      </w:r>
      <w:r w:rsidR="00664B50">
        <w:rPr>
          <w:rFonts w:asciiTheme="majorBidi" w:eastAsia="Times New Roman" w:hAnsiTheme="majorBidi" w:cstheme="majorBidi"/>
          <w:sz w:val="28"/>
          <w:szCs w:val="28"/>
        </w:rPr>
        <w:t xml:space="preserve">, and </w:t>
      </w:r>
      <w:r w:rsidRPr="001D15F4">
        <w:rPr>
          <w:rFonts w:asciiTheme="majorBidi" w:eastAsia="Times New Roman" w:hAnsiTheme="majorBidi" w:cstheme="majorBidi"/>
          <w:sz w:val="28"/>
          <w:szCs w:val="28"/>
        </w:rPr>
        <w:t>it is possible to generate thousands to millions of copies of a particular section of DNA from a very small amount of DNA.</w:t>
      </w:r>
      <w:r w:rsidR="00683313" w:rsidRPr="001D15F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1D15F4">
        <w:rPr>
          <w:rFonts w:asciiTheme="majorBidi" w:eastAsia="Times New Roman" w:hAnsiTheme="majorBidi" w:cstheme="majorBidi"/>
          <w:sz w:val="28"/>
          <w:szCs w:val="28"/>
        </w:rPr>
        <w:t xml:space="preserve">PCR is a common tool used in medical and biological research labs. </w:t>
      </w:r>
    </w:p>
    <w:p w:rsidR="00DE5738" w:rsidRPr="00F229CF" w:rsidRDefault="00DE5738" w:rsidP="00DE57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229CF">
        <w:rPr>
          <w:rFonts w:asciiTheme="majorBidi" w:hAnsiTheme="majorBidi" w:cstheme="majorBidi"/>
          <w:b/>
          <w:bCs/>
          <w:sz w:val="32"/>
          <w:szCs w:val="32"/>
        </w:rPr>
        <w:t xml:space="preserve">Application of PCR:   </w:t>
      </w:r>
    </w:p>
    <w:p w:rsidR="00DE5738" w:rsidRPr="00683313" w:rsidRDefault="00DE5738" w:rsidP="00DE57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3313">
        <w:rPr>
          <w:rFonts w:asciiTheme="majorBidi" w:hAnsiTheme="majorBidi" w:cstheme="majorBidi"/>
          <w:sz w:val="28"/>
          <w:szCs w:val="28"/>
        </w:rPr>
        <w:t>PCR used in medical and biological research labs for a variety of applications. These include;</w:t>
      </w:r>
    </w:p>
    <w:p w:rsidR="00DE5738" w:rsidRPr="00683313" w:rsidRDefault="00DE5738" w:rsidP="00DE573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3313">
        <w:rPr>
          <w:rFonts w:asciiTheme="majorBidi" w:hAnsiTheme="majorBidi" w:cstheme="majorBidi"/>
          <w:sz w:val="28"/>
          <w:szCs w:val="28"/>
        </w:rPr>
        <w:t>Functional analysis of </w:t>
      </w:r>
      <w:hyperlink r:id="rId7" w:tooltip="Gene" w:history="1">
        <w:r w:rsidRPr="00683313">
          <w:rPr>
            <w:rFonts w:asciiTheme="majorBidi" w:hAnsiTheme="majorBidi" w:cstheme="majorBidi"/>
            <w:sz w:val="28"/>
            <w:szCs w:val="28"/>
          </w:rPr>
          <w:t>genes</w:t>
        </w:r>
      </w:hyperlink>
      <w:r w:rsidRPr="00683313">
        <w:rPr>
          <w:rFonts w:asciiTheme="majorBidi" w:hAnsiTheme="majorBidi" w:cstheme="majorBidi"/>
          <w:sz w:val="28"/>
          <w:szCs w:val="28"/>
        </w:rPr>
        <w:t xml:space="preserve">. </w:t>
      </w:r>
    </w:p>
    <w:p w:rsidR="00DE5738" w:rsidRPr="00683313" w:rsidRDefault="00DE5738" w:rsidP="00DE573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3313">
        <w:rPr>
          <w:rFonts w:asciiTheme="majorBidi" w:hAnsiTheme="majorBidi" w:cstheme="majorBidi"/>
          <w:sz w:val="28"/>
          <w:szCs w:val="28"/>
        </w:rPr>
        <w:t>Detection of mutation</w:t>
      </w:r>
    </w:p>
    <w:p w:rsidR="00DE5738" w:rsidRPr="00683313" w:rsidRDefault="00DE5738" w:rsidP="00DE573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3313">
        <w:rPr>
          <w:rFonts w:asciiTheme="majorBidi" w:hAnsiTheme="majorBidi" w:cstheme="majorBidi"/>
          <w:sz w:val="28"/>
          <w:szCs w:val="28"/>
        </w:rPr>
        <w:t xml:space="preserve">Diagnosis of </w:t>
      </w:r>
      <w:hyperlink r:id="rId8" w:tooltip="Hereditary disease" w:history="1">
        <w:r w:rsidRPr="00683313">
          <w:rPr>
            <w:rFonts w:asciiTheme="majorBidi" w:hAnsiTheme="majorBidi" w:cstheme="majorBidi"/>
            <w:sz w:val="28"/>
            <w:szCs w:val="28"/>
          </w:rPr>
          <w:t>hereditary diseases</w:t>
        </w:r>
      </w:hyperlink>
      <w:r w:rsidRPr="00683313">
        <w:rPr>
          <w:rFonts w:asciiTheme="majorBidi" w:hAnsiTheme="majorBidi" w:cstheme="majorBidi"/>
          <w:sz w:val="28"/>
          <w:szCs w:val="28"/>
        </w:rPr>
        <w:t xml:space="preserve">. </w:t>
      </w:r>
    </w:p>
    <w:p w:rsidR="00DE5738" w:rsidRPr="00DE5738" w:rsidRDefault="00DE5738" w:rsidP="00DE573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3313">
        <w:rPr>
          <w:rFonts w:asciiTheme="majorBidi" w:hAnsiTheme="majorBidi" w:cstheme="majorBidi"/>
          <w:sz w:val="28"/>
          <w:szCs w:val="28"/>
        </w:rPr>
        <w:t xml:space="preserve">The detection and diagnosis of </w:t>
      </w:r>
      <w:hyperlink r:id="rId9" w:tooltip="Infectious disease" w:history="1">
        <w:r w:rsidRPr="00683313">
          <w:rPr>
            <w:rFonts w:asciiTheme="majorBidi" w:hAnsiTheme="majorBidi" w:cstheme="majorBidi"/>
            <w:sz w:val="28"/>
            <w:szCs w:val="28"/>
          </w:rPr>
          <w:t>infectious diseases</w:t>
        </w:r>
      </w:hyperlink>
      <w:r w:rsidRPr="00683313">
        <w:rPr>
          <w:rFonts w:asciiTheme="majorBidi" w:hAnsiTheme="majorBidi" w:cstheme="majorBidi"/>
          <w:sz w:val="28"/>
          <w:szCs w:val="28"/>
        </w:rPr>
        <w:t>.</w:t>
      </w:r>
    </w:p>
    <w:p w:rsidR="005C5340" w:rsidRPr="005C5340" w:rsidRDefault="005C5340" w:rsidP="00CA30EA">
      <w:pPr>
        <w:shd w:val="clear" w:color="auto" w:fill="FAFFFD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5C534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There are three main stages:</w:t>
      </w:r>
    </w:p>
    <w:p w:rsidR="006B6BF6" w:rsidRPr="00CA30EA" w:rsidRDefault="005C5340" w:rsidP="00CA30E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A30EA">
        <w:rPr>
          <w:rFonts w:asciiTheme="majorBidi" w:eastAsia="Times New Roman" w:hAnsiTheme="majorBidi" w:cstheme="majorBidi"/>
          <w:b/>
          <w:bCs/>
          <w:sz w:val="28"/>
          <w:szCs w:val="28"/>
        </w:rPr>
        <w:t>Denaturing</w:t>
      </w:r>
      <w:r w:rsidRPr="00CA30EA">
        <w:rPr>
          <w:rFonts w:asciiTheme="majorBidi" w:eastAsia="Times New Roman" w:hAnsiTheme="majorBidi" w:cstheme="majorBidi"/>
          <w:sz w:val="28"/>
          <w:szCs w:val="28"/>
        </w:rPr>
        <w:t> – when the double-stranded template DNA is heated to separate it into two single strands.</w:t>
      </w:r>
      <w:r w:rsidR="00CA30EA" w:rsidRPr="00CA30E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B6BF6" w:rsidRPr="00CA30EA">
        <w:rPr>
          <w:rFonts w:asciiTheme="majorBidi" w:hAnsiTheme="majorBidi" w:cstheme="majorBidi"/>
          <w:sz w:val="28"/>
          <w:szCs w:val="28"/>
        </w:rPr>
        <w:t>During this stage the cocktail containing the template DNA and all the other core ingredients is heated to 94-95</w:t>
      </w:r>
      <w:r w:rsidR="006B6BF6" w:rsidRPr="00CA30EA">
        <w:rPr>
          <w:rFonts w:asciiTheme="majorBidi" w:hAnsi="Georgia" w:cstheme="majorBidi"/>
          <w:sz w:val="28"/>
          <w:szCs w:val="28"/>
        </w:rPr>
        <w:t>⁰</w:t>
      </w:r>
      <w:r w:rsidR="006B6BF6" w:rsidRPr="00CA30EA">
        <w:rPr>
          <w:rFonts w:asciiTheme="majorBidi" w:hAnsiTheme="majorBidi" w:cstheme="majorBidi"/>
          <w:sz w:val="28"/>
          <w:szCs w:val="28"/>
        </w:rPr>
        <w:t>C.The high temperature causes the </w:t>
      </w:r>
      <w:hyperlink r:id="rId10" w:tooltip="An attractive interaction between two molecules. Hydrogen bonds hold the nucleotide bases (A, C, G and T) together in the DNA double helix." w:history="1">
        <w:r w:rsidR="006B6BF6" w:rsidRPr="00CA30E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hydrogen bonds</w:t>
        </w:r>
      </w:hyperlink>
      <w:r w:rsidR="00683313" w:rsidRPr="00CA30EA">
        <w:rPr>
          <w:rFonts w:asciiTheme="majorBidi" w:hAnsiTheme="majorBidi" w:cstheme="majorBidi"/>
          <w:sz w:val="28"/>
          <w:szCs w:val="28"/>
        </w:rPr>
        <w:t xml:space="preserve"> </w:t>
      </w:r>
      <w:r w:rsidR="006B6BF6" w:rsidRPr="00CA30EA">
        <w:rPr>
          <w:rFonts w:asciiTheme="majorBidi" w:hAnsiTheme="majorBidi" w:cstheme="majorBidi"/>
          <w:sz w:val="28"/>
          <w:szCs w:val="28"/>
        </w:rPr>
        <w:t xml:space="preserve"> between the bases in two strands of template DNA to break and the two strands to </w:t>
      </w:r>
      <w:r w:rsidR="00CA30EA" w:rsidRPr="00CA30EA">
        <w:rPr>
          <w:rFonts w:asciiTheme="majorBidi" w:hAnsiTheme="majorBidi" w:cstheme="majorBidi"/>
          <w:sz w:val="28"/>
          <w:szCs w:val="28"/>
        </w:rPr>
        <w:t>separate. This</w:t>
      </w:r>
      <w:r w:rsidR="006B6BF6" w:rsidRPr="00CA30EA">
        <w:rPr>
          <w:rFonts w:asciiTheme="majorBidi" w:hAnsiTheme="majorBidi" w:cstheme="majorBidi"/>
          <w:sz w:val="28"/>
          <w:szCs w:val="28"/>
        </w:rPr>
        <w:t xml:space="preserve"> results in two single strands of DNA, which will act as templates for the production of the new strands of </w:t>
      </w:r>
      <w:proofErr w:type="gramStart"/>
      <w:r w:rsidR="006B6BF6" w:rsidRPr="00CA30EA">
        <w:rPr>
          <w:rFonts w:asciiTheme="majorBidi" w:hAnsiTheme="majorBidi" w:cstheme="majorBidi"/>
          <w:sz w:val="28"/>
          <w:szCs w:val="28"/>
        </w:rPr>
        <w:t>DNA</w:t>
      </w:r>
      <w:r w:rsidR="00CA30EA" w:rsidRPr="00CA30EA">
        <w:rPr>
          <w:rFonts w:asciiTheme="majorBidi" w:hAnsiTheme="majorBidi" w:cstheme="majorBidi"/>
          <w:sz w:val="28"/>
          <w:szCs w:val="28"/>
        </w:rPr>
        <w:t xml:space="preserve"> </w:t>
      </w:r>
      <w:r w:rsidR="006B6BF6" w:rsidRPr="00CA30EA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A30EA" w:rsidRPr="00CA30EA">
        <w:rPr>
          <w:rFonts w:asciiTheme="majorBidi" w:hAnsiTheme="majorBidi" w:cstheme="majorBidi"/>
          <w:sz w:val="28"/>
          <w:szCs w:val="28"/>
        </w:rPr>
        <w:t xml:space="preserve"> </w:t>
      </w:r>
      <w:r w:rsidR="006B6BF6" w:rsidRPr="00CA30EA">
        <w:rPr>
          <w:rFonts w:asciiTheme="majorBidi" w:hAnsiTheme="majorBidi" w:cstheme="majorBidi"/>
          <w:sz w:val="28"/>
          <w:szCs w:val="28"/>
        </w:rPr>
        <w:t xml:space="preserve">It is important that the temperature is maintained at this stage for long enough to ensure that the DNA strands have separated </w:t>
      </w:r>
      <w:r w:rsidR="00CA30EA" w:rsidRPr="00CA30EA">
        <w:rPr>
          <w:rFonts w:asciiTheme="majorBidi" w:hAnsiTheme="majorBidi" w:cstheme="majorBidi"/>
          <w:sz w:val="28"/>
          <w:szCs w:val="28"/>
        </w:rPr>
        <w:t>completely. This</w:t>
      </w:r>
      <w:r w:rsidR="006B6BF6" w:rsidRPr="00CA30EA">
        <w:rPr>
          <w:rFonts w:asciiTheme="majorBidi" w:hAnsiTheme="majorBidi" w:cstheme="majorBidi"/>
          <w:sz w:val="28"/>
          <w:szCs w:val="28"/>
        </w:rPr>
        <w:t xml:space="preserve"> usually takes between 15-30 seconds.</w:t>
      </w:r>
    </w:p>
    <w:p w:rsidR="006B6BF6" w:rsidRPr="00CA30EA" w:rsidRDefault="005C5340" w:rsidP="00CA30E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CA30EA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Annealing</w:t>
      </w:r>
      <w:r w:rsidRPr="00CA30EA">
        <w:rPr>
          <w:rFonts w:asciiTheme="majorBidi" w:eastAsia="Times New Roman" w:hAnsiTheme="majorBidi" w:cstheme="majorBidi"/>
          <w:b/>
          <w:bCs/>
          <w:color w:val="555555"/>
          <w:sz w:val="28"/>
          <w:szCs w:val="28"/>
        </w:rPr>
        <w:t> </w:t>
      </w:r>
      <w:r w:rsidRPr="00CA30EA">
        <w:rPr>
          <w:rFonts w:asciiTheme="majorBidi" w:eastAsia="Times New Roman" w:hAnsiTheme="majorBidi" w:cstheme="majorBidi"/>
          <w:color w:val="555555"/>
          <w:sz w:val="28"/>
          <w:szCs w:val="28"/>
        </w:rPr>
        <w:t>– when the temperature is lowered to enable the DNA primers to attach to the template DNA.</w:t>
      </w:r>
      <w:r w:rsidR="00CA30EA" w:rsidRPr="00CA30EA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6B6BF6" w:rsidRPr="00CA30EA">
        <w:rPr>
          <w:rFonts w:asciiTheme="majorBidi" w:hAnsiTheme="majorBidi" w:cstheme="majorBidi"/>
          <w:color w:val="555555"/>
          <w:sz w:val="28"/>
          <w:szCs w:val="28"/>
        </w:rPr>
        <w:t>During this stage the reaction is cooled to 50-65</w:t>
      </w:r>
      <w:r w:rsidR="006B6BF6" w:rsidRPr="00CA30EA">
        <w:rPr>
          <w:rFonts w:asciiTheme="majorBidi" w:hAnsi="Georgia" w:cstheme="majorBidi"/>
          <w:color w:val="555555"/>
          <w:sz w:val="28"/>
          <w:szCs w:val="28"/>
        </w:rPr>
        <w:t>⁰</w:t>
      </w:r>
      <w:r w:rsidR="006B6BF6" w:rsidRPr="00CA30EA">
        <w:rPr>
          <w:rFonts w:asciiTheme="majorBidi" w:hAnsiTheme="majorBidi" w:cstheme="majorBidi"/>
          <w:color w:val="555555"/>
          <w:sz w:val="28"/>
          <w:szCs w:val="28"/>
        </w:rPr>
        <w:t>C. This enables the primers to attach to a specific location on the single-stranded template DNA by way of hydrogen bonding (the exact temperature depends on the melting temperature of the primers you are using).</w:t>
      </w:r>
    </w:p>
    <w:p w:rsidR="006B6BF6" w:rsidRPr="00CA30EA" w:rsidRDefault="006B6BF6" w:rsidP="00CA30EA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CA30EA">
        <w:rPr>
          <w:rFonts w:asciiTheme="majorBidi" w:hAnsiTheme="majorBidi" w:cstheme="majorBidi"/>
          <w:color w:val="555555"/>
          <w:sz w:val="28"/>
          <w:szCs w:val="28"/>
        </w:rPr>
        <w:t>Primers are single strands of DNA or </w:t>
      </w:r>
      <w:hyperlink r:id="rId11" w:tooltip="A nucleic acid similar in structure and properties to DNA, but it only has a single strand of bases and instead of the base thymine (T), RNA has a base called uracil (U)." w:history="1">
        <w:r w:rsidRPr="00CA30EA">
          <w:rPr>
            <w:rStyle w:val="Hyperlink"/>
            <w:rFonts w:asciiTheme="majorBidi" w:hAnsiTheme="majorBidi" w:cstheme="majorBidi"/>
            <w:color w:val="039894"/>
            <w:sz w:val="28"/>
            <w:szCs w:val="28"/>
            <w:u w:val="none"/>
          </w:rPr>
          <w:t>RNA</w:t>
        </w:r>
        <w:r w:rsidRPr="00CA30EA">
          <w:rPr>
            <w:rStyle w:val="Hyperlink"/>
            <w:rFonts w:asciiTheme="majorBidi" w:hAnsiTheme="majorBidi" w:cstheme="majorBidi"/>
            <w:color w:val="BBBBBB"/>
            <w:sz w:val="28"/>
            <w:szCs w:val="28"/>
            <w:u w:val="none"/>
            <w:vertAlign w:val="superscript"/>
          </w:rPr>
          <w:t>?</w:t>
        </w:r>
      </w:hyperlink>
      <w:r w:rsidRPr="00CA30EA">
        <w:rPr>
          <w:rFonts w:asciiTheme="majorBidi" w:hAnsiTheme="majorBidi" w:cstheme="majorBidi"/>
          <w:color w:val="555555"/>
          <w:sz w:val="28"/>
          <w:szCs w:val="28"/>
        </w:rPr>
        <w:t> </w:t>
      </w:r>
      <w:r w:rsidR="001D15F4" w:rsidRPr="00CA30EA">
        <w:rPr>
          <w:rFonts w:asciiTheme="majorBidi" w:hAnsiTheme="majorBidi" w:cstheme="majorBidi"/>
          <w:color w:val="555555"/>
          <w:sz w:val="28"/>
          <w:szCs w:val="28"/>
        </w:rPr>
        <w:t>Sequence</w:t>
      </w:r>
      <w:r w:rsidRPr="00CA30EA">
        <w:rPr>
          <w:rFonts w:asciiTheme="majorBidi" w:hAnsiTheme="majorBidi" w:cstheme="majorBidi"/>
          <w:color w:val="555555"/>
          <w:sz w:val="28"/>
          <w:szCs w:val="28"/>
        </w:rPr>
        <w:t xml:space="preserve"> that are around 20 to 30 bases in length.</w:t>
      </w:r>
    </w:p>
    <w:p w:rsidR="006B6BF6" w:rsidRPr="00CA30EA" w:rsidRDefault="006B6BF6" w:rsidP="00CA30EA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CA30EA">
        <w:rPr>
          <w:rFonts w:asciiTheme="majorBidi" w:hAnsiTheme="majorBidi" w:cstheme="majorBidi"/>
          <w:color w:val="555555"/>
          <w:sz w:val="28"/>
          <w:szCs w:val="28"/>
        </w:rPr>
        <w:t>The primers are designed to be </w:t>
      </w:r>
      <w:hyperlink r:id="rId12" w:tooltip="The preferential binding of bases A to T (or U) and C to G in DNA or RNA. For example, if there is a GTC on the DNA strand, the complementary RNA or DNA sequence will be CAG. This complementarity maintains the double helical structure of DNA." w:history="1">
        <w:r w:rsidRPr="00CA30EA">
          <w:rPr>
            <w:rStyle w:val="Hyperlink"/>
            <w:rFonts w:asciiTheme="majorBidi" w:hAnsiTheme="majorBidi" w:cstheme="majorBidi"/>
            <w:color w:val="039894"/>
            <w:sz w:val="28"/>
            <w:szCs w:val="28"/>
            <w:u w:val="none"/>
          </w:rPr>
          <w:t>complementary</w:t>
        </w:r>
        <w:r w:rsidRPr="00CA30EA">
          <w:rPr>
            <w:rStyle w:val="Hyperlink"/>
            <w:rFonts w:asciiTheme="majorBidi" w:hAnsiTheme="majorBidi" w:cstheme="majorBidi"/>
            <w:color w:val="BBBBBB"/>
            <w:sz w:val="28"/>
            <w:szCs w:val="28"/>
            <w:u w:val="none"/>
            <w:vertAlign w:val="superscript"/>
          </w:rPr>
          <w:t>?</w:t>
        </w:r>
      </w:hyperlink>
      <w:r w:rsidRPr="00CA30EA">
        <w:rPr>
          <w:rFonts w:asciiTheme="majorBidi" w:hAnsiTheme="majorBidi" w:cstheme="majorBidi"/>
          <w:color w:val="555555"/>
          <w:sz w:val="28"/>
          <w:szCs w:val="28"/>
        </w:rPr>
        <w:t> </w:t>
      </w:r>
      <w:proofErr w:type="gramStart"/>
      <w:r w:rsidRPr="00CA30EA">
        <w:rPr>
          <w:rFonts w:asciiTheme="majorBidi" w:hAnsiTheme="majorBidi" w:cstheme="majorBidi"/>
          <w:color w:val="555555"/>
          <w:sz w:val="28"/>
          <w:szCs w:val="28"/>
        </w:rPr>
        <w:t>in</w:t>
      </w:r>
      <w:proofErr w:type="gramEnd"/>
      <w:r w:rsidRPr="00CA30EA">
        <w:rPr>
          <w:rFonts w:asciiTheme="majorBidi" w:hAnsiTheme="majorBidi" w:cstheme="majorBidi"/>
          <w:color w:val="555555"/>
          <w:sz w:val="28"/>
          <w:szCs w:val="28"/>
        </w:rPr>
        <w:t xml:space="preserve"> sequence to short sections of DNA on each end of the sequence to be copied.</w:t>
      </w:r>
    </w:p>
    <w:p w:rsidR="006B6BF6" w:rsidRPr="00F229CF" w:rsidRDefault="006B6BF6" w:rsidP="00F229CF">
      <w:pPr>
        <w:pStyle w:val="ListParagraph"/>
        <w:numPr>
          <w:ilvl w:val="1"/>
          <w:numId w:val="11"/>
        </w:numPr>
        <w:shd w:val="clear" w:color="auto" w:fill="FAFFFD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F229CF">
        <w:rPr>
          <w:rFonts w:asciiTheme="majorBidi" w:hAnsiTheme="majorBidi" w:cstheme="majorBidi"/>
          <w:color w:val="555555"/>
          <w:sz w:val="28"/>
          <w:szCs w:val="28"/>
        </w:rPr>
        <w:lastRenderedPageBreak/>
        <w:t>Primers serve as the starting point for DNA synthesis. The polymerase enzyme can only add DNA bases to a double strand of DNA. Only once the primer has bound can the polymerase enzyme attach and start making the new complementary strand of DNA from the loose DNA bases.</w:t>
      </w:r>
    </w:p>
    <w:p w:rsidR="006B6BF6" w:rsidRPr="0024619F" w:rsidRDefault="006B6BF6" w:rsidP="0024619F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24619F">
        <w:rPr>
          <w:rFonts w:asciiTheme="majorBidi" w:hAnsiTheme="majorBidi" w:cstheme="majorBidi"/>
          <w:color w:val="555555"/>
          <w:sz w:val="28"/>
          <w:szCs w:val="28"/>
        </w:rPr>
        <w:t>The two separated strands of DNA are complementary and run in opposite directions (from one end - the 5’ end – to the other - the 3’ end</w:t>
      </w:r>
      <w:r w:rsidR="0024619F">
        <w:rPr>
          <w:rFonts w:asciiTheme="majorBidi" w:hAnsiTheme="majorBidi" w:cstheme="majorBidi"/>
          <w:color w:val="555555"/>
          <w:sz w:val="28"/>
          <w:szCs w:val="28"/>
        </w:rPr>
        <w:t xml:space="preserve"> </w:t>
      </w:r>
      <w:r w:rsidR="00D41BE9">
        <w:rPr>
          <w:rFonts w:asciiTheme="majorBidi" w:hAnsiTheme="majorBidi" w:cstheme="majorBidi"/>
          <w:color w:val="555555"/>
          <w:sz w:val="28"/>
          <w:szCs w:val="28"/>
        </w:rPr>
        <w:t>.</w:t>
      </w:r>
      <w:r w:rsidRPr="0024619F">
        <w:rPr>
          <w:rFonts w:asciiTheme="majorBidi" w:hAnsiTheme="majorBidi" w:cstheme="majorBidi"/>
          <w:color w:val="555555"/>
          <w:sz w:val="28"/>
          <w:szCs w:val="28"/>
        </w:rPr>
        <w:t>This step usually takes about 10-30 seconds.</w:t>
      </w:r>
    </w:p>
    <w:p w:rsidR="00D41BE9" w:rsidRDefault="005C5340" w:rsidP="00D41BE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CA30EA">
        <w:rPr>
          <w:rFonts w:asciiTheme="majorBidi" w:eastAsia="Times New Roman" w:hAnsiTheme="majorBidi" w:cstheme="majorBidi"/>
          <w:b/>
          <w:bCs/>
          <w:color w:val="555555"/>
          <w:sz w:val="28"/>
          <w:szCs w:val="28"/>
        </w:rPr>
        <w:t>Extending </w:t>
      </w:r>
      <w:r w:rsidRPr="00CA30EA">
        <w:rPr>
          <w:rFonts w:asciiTheme="majorBidi" w:eastAsia="Times New Roman" w:hAnsiTheme="majorBidi" w:cstheme="majorBidi"/>
          <w:color w:val="555555"/>
          <w:sz w:val="28"/>
          <w:szCs w:val="28"/>
        </w:rPr>
        <w:t>–</w:t>
      </w:r>
    </w:p>
    <w:p w:rsidR="00CE6F9A" w:rsidRDefault="006B6BF6" w:rsidP="00CE6F9A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D41BE9">
        <w:rPr>
          <w:rFonts w:asciiTheme="majorBidi" w:hAnsiTheme="majorBidi" w:cstheme="majorBidi"/>
          <w:color w:val="555555"/>
          <w:sz w:val="28"/>
          <w:szCs w:val="28"/>
        </w:rPr>
        <w:t>During this final step, the heat is increased to 72</w:t>
      </w:r>
      <w:r w:rsidRPr="00D41BE9">
        <w:rPr>
          <w:rFonts w:ascii="Georgia" w:hAnsi="Georgia" w:cstheme="majorBidi"/>
          <w:color w:val="555555"/>
          <w:sz w:val="28"/>
          <w:szCs w:val="28"/>
        </w:rPr>
        <w:t>⁰</w:t>
      </w:r>
      <w:r w:rsidRPr="00D41BE9">
        <w:rPr>
          <w:rFonts w:asciiTheme="majorBidi" w:hAnsiTheme="majorBidi" w:cstheme="majorBidi"/>
          <w:color w:val="555555"/>
          <w:sz w:val="28"/>
          <w:szCs w:val="28"/>
        </w:rPr>
        <w:t xml:space="preserve">C to enable the new DNA to be made by a special </w:t>
      </w:r>
      <w:proofErr w:type="spellStart"/>
      <w:r w:rsidRPr="00D41BE9">
        <w:rPr>
          <w:rFonts w:asciiTheme="majorBidi" w:hAnsiTheme="majorBidi" w:cstheme="majorBidi"/>
          <w:color w:val="555555"/>
          <w:sz w:val="28"/>
          <w:szCs w:val="28"/>
        </w:rPr>
        <w:t>Taq</w:t>
      </w:r>
      <w:proofErr w:type="spellEnd"/>
      <w:r w:rsidRPr="00D41BE9">
        <w:rPr>
          <w:rFonts w:asciiTheme="majorBidi" w:hAnsiTheme="majorBidi" w:cstheme="majorBidi"/>
          <w:color w:val="555555"/>
          <w:sz w:val="28"/>
          <w:szCs w:val="28"/>
        </w:rPr>
        <w:t xml:space="preserve"> DNA polymerase enzyme which adds DNA bases.</w:t>
      </w:r>
      <w:r w:rsidR="00D41BE9">
        <w:rPr>
          <w:rFonts w:asciiTheme="majorBidi" w:hAnsiTheme="majorBidi" w:cstheme="majorBidi"/>
          <w:color w:val="555555"/>
          <w:sz w:val="28"/>
          <w:szCs w:val="28"/>
        </w:rPr>
        <w:t xml:space="preserve"> </w:t>
      </w:r>
      <w:proofErr w:type="spellStart"/>
      <w:r w:rsidRPr="00683313">
        <w:rPr>
          <w:rFonts w:asciiTheme="majorBidi" w:hAnsiTheme="majorBidi" w:cstheme="majorBidi"/>
          <w:color w:val="555555"/>
          <w:sz w:val="28"/>
          <w:szCs w:val="28"/>
        </w:rPr>
        <w:t>Taq</w:t>
      </w:r>
      <w:proofErr w:type="spellEnd"/>
      <w:r w:rsidRPr="00683313">
        <w:rPr>
          <w:rFonts w:asciiTheme="majorBidi" w:hAnsiTheme="majorBidi" w:cstheme="majorBidi"/>
          <w:color w:val="555555"/>
          <w:sz w:val="28"/>
          <w:szCs w:val="28"/>
        </w:rPr>
        <w:t xml:space="preserve"> DNA polymerase is an enzyme taken from the heat-loving </w:t>
      </w:r>
      <w:hyperlink r:id="rId13" w:tooltip="A type of single celled organism varying in shape from spherical, to spiral to rod-shaped. They are only visible under a microscope and do not have a cell wall, nucleus or organelles. Given the correct conditions bacteria can replicate very quickly and some ar" w:history="1">
        <w:r w:rsidRPr="00683313">
          <w:rPr>
            <w:rStyle w:val="Hyperlink"/>
            <w:rFonts w:asciiTheme="majorBidi" w:hAnsiTheme="majorBidi" w:cstheme="majorBidi"/>
            <w:color w:val="039894"/>
            <w:sz w:val="28"/>
            <w:szCs w:val="28"/>
            <w:u w:val="none"/>
          </w:rPr>
          <w:t>bacteria</w:t>
        </w:r>
        <w:r w:rsidRPr="00683313">
          <w:rPr>
            <w:rStyle w:val="Hyperlink"/>
            <w:rFonts w:asciiTheme="majorBidi" w:hAnsiTheme="majorBidi" w:cstheme="majorBidi"/>
            <w:color w:val="BBBBBB"/>
            <w:sz w:val="28"/>
            <w:szCs w:val="28"/>
            <w:u w:val="none"/>
            <w:vertAlign w:val="superscript"/>
          </w:rPr>
          <w:t>?</w:t>
        </w:r>
      </w:hyperlink>
      <w:r w:rsidRPr="00683313">
        <w:rPr>
          <w:rFonts w:asciiTheme="majorBidi" w:hAnsiTheme="majorBidi" w:cstheme="majorBidi"/>
          <w:color w:val="555555"/>
          <w:sz w:val="28"/>
          <w:szCs w:val="28"/>
        </w:rPr>
        <w:t> </w:t>
      </w:r>
      <w:proofErr w:type="spellStart"/>
      <w:r w:rsidRPr="00683313">
        <w:rPr>
          <w:rStyle w:val="Emphasis"/>
          <w:rFonts w:asciiTheme="majorBidi" w:hAnsiTheme="majorBidi" w:cstheme="majorBidi"/>
          <w:color w:val="555555"/>
          <w:sz w:val="28"/>
          <w:szCs w:val="28"/>
        </w:rPr>
        <w:t>Thermus</w:t>
      </w:r>
      <w:proofErr w:type="spellEnd"/>
      <w:r w:rsidRPr="00683313">
        <w:rPr>
          <w:rStyle w:val="Emphasis"/>
          <w:rFonts w:asciiTheme="majorBidi" w:hAnsiTheme="majorBidi" w:cstheme="majorBidi"/>
          <w:color w:val="555555"/>
          <w:sz w:val="28"/>
          <w:szCs w:val="28"/>
        </w:rPr>
        <w:t xml:space="preserve"> </w:t>
      </w:r>
      <w:proofErr w:type="spellStart"/>
      <w:r w:rsidRPr="00683313">
        <w:rPr>
          <w:rStyle w:val="Emphasis"/>
          <w:rFonts w:asciiTheme="majorBidi" w:hAnsiTheme="majorBidi" w:cstheme="majorBidi"/>
          <w:color w:val="555555"/>
          <w:sz w:val="28"/>
          <w:szCs w:val="28"/>
        </w:rPr>
        <w:t>aquaticus</w:t>
      </w:r>
      <w:proofErr w:type="spellEnd"/>
      <w:r w:rsidRPr="00683313">
        <w:rPr>
          <w:rFonts w:asciiTheme="majorBidi" w:hAnsiTheme="majorBidi" w:cstheme="majorBidi"/>
          <w:color w:val="555555"/>
          <w:sz w:val="28"/>
          <w:szCs w:val="28"/>
        </w:rPr>
        <w:t>.</w:t>
      </w:r>
      <w:r w:rsidR="00D41BE9">
        <w:rPr>
          <w:rFonts w:asciiTheme="majorBidi" w:hAnsiTheme="majorBidi" w:cstheme="majorBidi"/>
          <w:color w:val="555555"/>
          <w:sz w:val="28"/>
          <w:szCs w:val="28"/>
        </w:rPr>
        <w:t xml:space="preserve"> </w:t>
      </w:r>
      <w:r w:rsidRPr="00683313">
        <w:rPr>
          <w:rFonts w:asciiTheme="majorBidi" w:hAnsiTheme="majorBidi" w:cstheme="majorBidi"/>
          <w:color w:val="555555"/>
          <w:sz w:val="28"/>
          <w:szCs w:val="28"/>
        </w:rPr>
        <w:t>This bacteria normally lives in hot springs so can tolerate temperatures above 80</w:t>
      </w:r>
      <w:r w:rsidRPr="00683313">
        <w:rPr>
          <w:rFonts w:ascii="Georgia" w:hAnsi="Georgia" w:cstheme="majorBidi"/>
          <w:color w:val="555555"/>
          <w:sz w:val="28"/>
          <w:szCs w:val="28"/>
        </w:rPr>
        <w:t>⁰</w:t>
      </w:r>
      <w:r w:rsidRPr="00683313">
        <w:rPr>
          <w:rFonts w:asciiTheme="majorBidi" w:hAnsiTheme="majorBidi" w:cstheme="majorBidi"/>
          <w:color w:val="555555"/>
          <w:sz w:val="28"/>
          <w:szCs w:val="28"/>
        </w:rPr>
        <w:t>C.The bacteria's DNA polymerase is v</w:t>
      </w:r>
      <w:r w:rsidR="00CE6F9A">
        <w:rPr>
          <w:rFonts w:asciiTheme="majorBidi" w:hAnsiTheme="majorBidi" w:cstheme="majorBidi"/>
          <w:color w:val="555555"/>
          <w:sz w:val="28"/>
          <w:szCs w:val="28"/>
        </w:rPr>
        <w:t>ery stable at high temperatures.</w:t>
      </w:r>
      <w:r w:rsidRPr="00683313">
        <w:rPr>
          <w:rFonts w:asciiTheme="majorBidi" w:hAnsiTheme="majorBidi" w:cstheme="majorBidi"/>
          <w:color w:val="555555"/>
          <w:sz w:val="28"/>
          <w:szCs w:val="28"/>
        </w:rPr>
        <w:t xml:space="preserve"> </w:t>
      </w:r>
    </w:p>
    <w:p w:rsidR="006B6BF6" w:rsidRPr="00683313" w:rsidRDefault="006B6BF6" w:rsidP="00CE6F9A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683313">
        <w:rPr>
          <w:rFonts w:asciiTheme="majorBidi" w:hAnsiTheme="majorBidi" w:cstheme="majorBidi"/>
          <w:color w:val="555555"/>
          <w:sz w:val="28"/>
          <w:szCs w:val="28"/>
        </w:rPr>
        <w:t> These three processes of thermal cycling are repeated 20-40 times to produce lots of copies of the DNA sequence of interest.</w:t>
      </w:r>
    </w:p>
    <w:p w:rsidR="001D15F4" w:rsidRDefault="006B6BF6" w:rsidP="002E081E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683313">
        <w:rPr>
          <w:rFonts w:asciiTheme="majorBidi" w:hAnsiTheme="majorBidi" w:cstheme="majorBidi"/>
          <w:color w:val="555555"/>
          <w:sz w:val="28"/>
          <w:szCs w:val="28"/>
        </w:rPr>
        <w:t xml:space="preserve">The new fragments of DNA that are made during PCR also serve as templates to which the DNA polymerase enzyme can attach and start making </w:t>
      </w:r>
      <w:proofErr w:type="spellStart"/>
      <w:r w:rsidRPr="00683313">
        <w:rPr>
          <w:rFonts w:asciiTheme="majorBidi" w:hAnsiTheme="majorBidi" w:cstheme="majorBidi"/>
          <w:color w:val="555555"/>
          <w:sz w:val="28"/>
          <w:szCs w:val="28"/>
        </w:rPr>
        <w:t>DNA.The</w:t>
      </w:r>
      <w:proofErr w:type="spellEnd"/>
      <w:r w:rsidRPr="00683313">
        <w:rPr>
          <w:rFonts w:asciiTheme="majorBidi" w:hAnsiTheme="majorBidi" w:cstheme="majorBidi"/>
          <w:color w:val="555555"/>
          <w:sz w:val="28"/>
          <w:szCs w:val="28"/>
        </w:rPr>
        <w:t xml:space="preserve"> result is a huge number of copies of the specific DNA segment produced in a relatively short period of time.  </w:t>
      </w:r>
    </w:p>
    <w:p w:rsidR="00D41BE9" w:rsidRPr="00DE5738" w:rsidRDefault="00D41BE9" w:rsidP="002E081E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555555"/>
          <w:sz w:val="28"/>
          <w:szCs w:val="28"/>
        </w:rPr>
      </w:pPr>
      <w:r w:rsidRPr="005C5340">
        <w:rPr>
          <w:rFonts w:asciiTheme="majorBidi" w:eastAsia="Times New Roman" w:hAnsiTheme="majorBidi" w:cstheme="majorBidi"/>
          <w:color w:val="555555"/>
          <w:sz w:val="28"/>
          <w:szCs w:val="28"/>
        </w:rPr>
        <w:t>After PCR has been completed, a method called electrophoresis can be used to check the quantity and size of the DNA fragments produced</w:t>
      </w:r>
    </w:p>
    <w:p w:rsidR="006B6BF6" w:rsidRPr="00683313" w:rsidRDefault="006B6BF6" w:rsidP="00683313">
      <w:pPr>
        <w:spacing w:line="240" w:lineRule="auto"/>
        <w:jc w:val="both"/>
        <w:rPr>
          <w:rFonts w:asciiTheme="majorBidi" w:hAnsiTheme="majorBidi" w:cstheme="majorBidi"/>
          <w:i/>
          <w:iCs/>
          <w:color w:val="555555"/>
          <w:sz w:val="28"/>
          <w:szCs w:val="28"/>
          <w:shd w:val="clear" w:color="auto" w:fill="FCFDFA"/>
        </w:rPr>
      </w:pPr>
      <w:r w:rsidRPr="0068331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86400" cy="2286000"/>
            <wp:effectExtent l="0" t="0" r="0" b="0"/>
            <wp:docPr id="2" name="Picture 1" descr="C:\Users\Computer Systems\Desktop\What is PCR (polymerase chain reaction)_ _ Facts _ yourgenome.org_files\pcr_cycle_yourge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ystems\Desktop\What is PCR (polymerase chain reaction)_ _ Facts _ yourgenome.org_files\pcr_cycle_yourgenom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1E" w:rsidRPr="00683313" w:rsidRDefault="002E081E" w:rsidP="002E081E">
      <w:pPr>
        <w:spacing w:line="240" w:lineRule="auto"/>
        <w:jc w:val="both"/>
        <w:rPr>
          <w:rFonts w:asciiTheme="majorBidi" w:hAnsiTheme="majorBidi" w:cstheme="majorBidi"/>
          <w:i/>
          <w:iCs/>
          <w:color w:val="555555"/>
          <w:sz w:val="28"/>
          <w:szCs w:val="28"/>
          <w:shd w:val="clear" w:color="auto" w:fill="FCFDFA"/>
        </w:rPr>
      </w:pPr>
      <w:r w:rsidRPr="00683313">
        <w:rPr>
          <w:rFonts w:asciiTheme="majorBidi" w:hAnsiTheme="majorBidi" w:cstheme="majorBidi"/>
          <w:i/>
          <w:iCs/>
          <w:color w:val="555555"/>
          <w:sz w:val="28"/>
          <w:szCs w:val="28"/>
          <w:shd w:val="clear" w:color="auto" w:fill="FCFDFA"/>
        </w:rPr>
        <w:t xml:space="preserve">Illustration showing the main steps in the polymerase chain reaction (PCR). </w:t>
      </w:r>
    </w:p>
    <w:p w:rsidR="006B6BF6" w:rsidRPr="00683313" w:rsidRDefault="006B6BF6" w:rsidP="00683313">
      <w:pPr>
        <w:spacing w:line="240" w:lineRule="auto"/>
        <w:jc w:val="both"/>
        <w:rPr>
          <w:rFonts w:asciiTheme="majorBidi" w:hAnsiTheme="majorBidi" w:cstheme="majorBidi"/>
          <w:i/>
          <w:iCs/>
          <w:color w:val="555555"/>
          <w:sz w:val="28"/>
          <w:szCs w:val="28"/>
          <w:shd w:val="clear" w:color="auto" w:fill="FCFDFA"/>
        </w:rPr>
      </w:pPr>
    </w:p>
    <w:p w:rsidR="00D466C2" w:rsidRDefault="00D466C2" w:rsidP="00CA30EA">
      <w:pPr>
        <w:shd w:val="clear" w:color="auto" w:fill="FCFDFA"/>
        <w:spacing w:before="288" w:after="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1D013D" w:rsidRDefault="001D013D" w:rsidP="00CA30EA">
      <w:pPr>
        <w:shd w:val="clear" w:color="auto" w:fill="FCFDFA"/>
        <w:spacing w:before="288" w:after="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D466C2" w:rsidRPr="00D466C2" w:rsidRDefault="00D466C2" w:rsidP="00D466C2">
      <w:pPr>
        <w:pStyle w:val="ListParagraph"/>
        <w:autoSpaceDE w:val="0"/>
        <w:autoSpaceDN w:val="0"/>
        <w:adjustRightInd w:val="0"/>
        <w:spacing w:before="240" w:after="120" w:line="312" w:lineRule="auto"/>
        <w:jc w:val="both"/>
        <w:rPr>
          <w:b/>
          <w:bCs/>
          <w:sz w:val="28"/>
          <w:szCs w:val="28"/>
        </w:rPr>
      </w:pPr>
      <w:r w:rsidRPr="00D466C2">
        <w:rPr>
          <w:b/>
          <w:bCs/>
          <w:sz w:val="28"/>
          <w:szCs w:val="28"/>
        </w:rPr>
        <w:t>PCR cycling conditions:</w:t>
      </w:r>
    </w:p>
    <w:p w:rsidR="00D466C2" w:rsidRPr="00D466C2" w:rsidRDefault="00D466C2" w:rsidP="00D466C2">
      <w:pPr>
        <w:autoSpaceDE w:val="0"/>
        <w:autoSpaceDN w:val="0"/>
        <w:adjustRightInd w:val="0"/>
        <w:spacing w:line="312" w:lineRule="auto"/>
        <w:ind w:left="360"/>
        <w:jc w:val="both"/>
        <w:rPr>
          <w:sz w:val="28"/>
          <w:szCs w:val="28"/>
        </w:rPr>
      </w:pPr>
      <w:r w:rsidRPr="00D466C2">
        <w:rPr>
          <w:sz w:val="28"/>
          <w:szCs w:val="28"/>
        </w:rPr>
        <w:t xml:space="preserve"> Initial </w:t>
      </w:r>
      <w:proofErr w:type="spellStart"/>
      <w:proofErr w:type="gramStart"/>
      <w:r w:rsidRPr="00D466C2">
        <w:rPr>
          <w:sz w:val="28"/>
          <w:szCs w:val="28"/>
        </w:rPr>
        <w:t>denaturation</w:t>
      </w:r>
      <w:proofErr w:type="spellEnd"/>
      <w:r w:rsidRPr="00D466C2">
        <w:rPr>
          <w:sz w:val="28"/>
          <w:szCs w:val="28"/>
        </w:rPr>
        <w:t xml:space="preserve">  94</w:t>
      </w:r>
      <w:proofErr w:type="gramEnd"/>
      <w:r w:rsidRPr="00D466C2">
        <w:rPr>
          <w:sz w:val="28"/>
          <w:szCs w:val="28"/>
        </w:rPr>
        <w:t>°C for 5 min.</w:t>
      </w:r>
    </w:p>
    <w:p w:rsidR="00D466C2" w:rsidRPr="00D466C2" w:rsidRDefault="001B7C7F" w:rsidP="00D466C2">
      <w:pPr>
        <w:autoSpaceDE w:val="0"/>
        <w:autoSpaceDN w:val="0"/>
        <w:adjustRightInd w:val="0"/>
        <w:spacing w:line="312" w:lineRule="auto"/>
        <w:ind w:left="360"/>
        <w:jc w:val="both"/>
        <w:rPr>
          <w:sz w:val="28"/>
          <w:szCs w:val="28"/>
        </w:rPr>
      </w:pPr>
      <w:r w:rsidRPr="001B7C7F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0.7pt;margin-top:8pt;width:28.5pt;height:50.25pt;z-index:251660288" strokeweight="2.25pt"/>
        </w:pict>
      </w:r>
      <w:r w:rsidR="00D466C2" w:rsidRPr="00D466C2">
        <w:rPr>
          <w:sz w:val="28"/>
          <w:szCs w:val="28"/>
        </w:rPr>
        <w:t xml:space="preserve">                                </w:t>
      </w:r>
      <w:proofErr w:type="gramStart"/>
      <w:r w:rsidR="00D466C2" w:rsidRPr="00D466C2">
        <w:rPr>
          <w:sz w:val="28"/>
          <w:szCs w:val="28"/>
        </w:rPr>
        <w:t>94° C for 30-60 sec.</w:t>
      </w:r>
      <w:proofErr w:type="gramEnd"/>
    </w:p>
    <w:p w:rsidR="00D466C2" w:rsidRPr="00D466C2" w:rsidRDefault="00D466C2" w:rsidP="00D466C2">
      <w:pPr>
        <w:autoSpaceDE w:val="0"/>
        <w:autoSpaceDN w:val="0"/>
        <w:adjustRightInd w:val="0"/>
        <w:spacing w:line="312" w:lineRule="auto"/>
        <w:ind w:left="360"/>
        <w:jc w:val="both"/>
        <w:rPr>
          <w:sz w:val="28"/>
          <w:szCs w:val="28"/>
        </w:rPr>
      </w:pPr>
      <w:r w:rsidRPr="00D466C2">
        <w:rPr>
          <w:sz w:val="28"/>
          <w:szCs w:val="28"/>
        </w:rPr>
        <w:t xml:space="preserve">                                </w:t>
      </w:r>
      <w:proofErr w:type="gramStart"/>
      <w:r w:rsidRPr="00D466C2">
        <w:rPr>
          <w:sz w:val="28"/>
          <w:szCs w:val="28"/>
        </w:rPr>
        <w:t>45-65° C for 20-40 sec.</w:t>
      </w:r>
      <w:proofErr w:type="gramEnd"/>
      <w:r w:rsidRPr="00D466C2">
        <w:rPr>
          <w:sz w:val="28"/>
          <w:szCs w:val="28"/>
        </w:rPr>
        <w:t xml:space="preserve">               30 cycles</w:t>
      </w:r>
    </w:p>
    <w:p w:rsidR="00D466C2" w:rsidRPr="00D466C2" w:rsidRDefault="00D466C2" w:rsidP="00D466C2">
      <w:pPr>
        <w:autoSpaceDE w:val="0"/>
        <w:autoSpaceDN w:val="0"/>
        <w:adjustRightInd w:val="0"/>
        <w:spacing w:line="312" w:lineRule="auto"/>
        <w:ind w:left="360"/>
        <w:jc w:val="both"/>
        <w:rPr>
          <w:sz w:val="28"/>
          <w:szCs w:val="28"/>
        </w:rPr>
      </w:pPr>
      <w:r w:rsidRPr="00D466C2">
        <w:rPr>
          <w:sz w:val="28"/>
          <w:szCs w:val="28"/>
        </w:rPr>
        <w:t xml:space="preserve">                                </w:t>
      </w:r>
      <w:proofErr w:type="gramStart"/>
      <w:r w:rsidRPr="00D466C2">
        <w:rPr>
          <w:sz w:val="28"/>
          <w:szCs w:val="28"/>
        </w:rPr>
        <w:t>72° C for 30-60 sec.</w:t>
      </w:r>
      <w:proofErr w:type="gramEnd"/>
    </w:p>
    <w:p w:rsidR="00D466C2" w:rsidRDefault="00D466C2" w:rsidP="00D466C2">
      <w:pPr>
        <w:autoSpaceDE w:val="0"/>
        <w:autoSpaceDN w:val="0"/>
        <w:adjustRightInd w:val="0"/>
        <w:spacing w:line="312" w:lineRule="auto"/>
        <w:ind w:left="360"/>
        <w:jc w:val="both"/>
        <w:rPr>
          <w:sz w:val="28"/>
          <w:szCs w:val="28"/>
        </w:rPr>
      </w:pPr>
      <w:r w:rsidRPr="00D466C2">
        <w:rPr>
          <w:sz w:val="28"/>
          <w:szCs w:val="28"/>
        </w:rPr>
        <w:t xml:space="preserve"> </w:t>
      </w:r>
      <w:proofErr w:type="gramStart"/>
      <w:r w:rsidRPr="00D466C2">
        <w:rPr>
          <w:sz w:val="28"/>
          <w:szCs w:val="28"/>
        </w:rPr>
        <w:t>Final Extension      72° C for 5 min.</w:t>
      </w:r>
      <w:proofErr w:type="gramEnd"/>
    </w:p>
    <w:p w:rsidR="00045F1B" w:rsidRDefault="00045F1B" w:rsidP="00D466C2">
      <w:pPr>
        <w:autoSpaceDE w:val="0"/>
        <w:autoSpaceDN w:val="0"/>
        <w:adjustRightInd w:val="0"/>
        <w:spacing w:line="312" w:lineRule="auto"/>
        <w:ind w:left="360"/>
        <w:jc w:val="both"/>
        <w:rPr>
          <w:sz w:val="28"/>
          <w:szCs w:val="28"/>
        </w:rPr>
      </w:pPr>
    </w:p>
    <w:p w:rsidR="00045F1B" w:rsidRPr="007074F6" w:rsidRDefault="00045F1B" w:rsidP="00045F1B">
      <w:pPr>
        <w:spacing w:line="360" w:lineRule="auto"/>
        <w:jc w:val="both"/>
        <w:rPr>
          <w:rFonts w:cs="Calibri"/>
        </w:rPr>
      </w:pPr>
      <w:r w:rsidRPr="00174427">
        <w:rPr>
          <w:rFonts w:cs="Calibri"/>
          <w:b/>
        </w:rPr>
        <w:t>Reagents and t</w:t>
      </w:r>
      <w:r w:rsidRPr="00174427">
        <w:rPr>
          <w:rFonts w:cs="Calibri"/>
          <w:b/>
          <w:lang w:val="en-CA"/>
        </w:rPr>
        <w:t>he optimal PCR reaction mixture</w:t>
      </w:r>
      <w:r>
        <w:rPr>
          <w:rFonts w:cs="Calibri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788"/>
        <w:gridCol w:w="1918"/>
      </w:tblGrid>
      <w:tr w:rsidR="00045F1B" w:rsidRPr="00174427" w:rsidTr="00720989">
        <w:trPr>
          <w:trHeight w:val="227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45F1B" w:rsidRPr="00174427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174427">
              <w:rPr>
                <w:rFonts w:ascii="Calibri" w:hAnsi="Calibri" w:cs="Calibri"/>
                <w:b/>
              </w:rPr>
              <w:t>PCR components</w:t>
            </w:r>
            <w:r w:rsidRPr="00174427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045F1B" w:rsidRPr="00174427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174427">
              <w:rPr>
                <w:rFonts w:ascii="Calibri" w:hAnsi="Calibri" w:cs="Calibri"/>
                <w:b/>
              </w:rPr>
              <w:t xml:space="preserve"> Volume (</w:t>
            </w:r>
            <w:r w:rsidRPr="00174427">
              <w:rPr>
                <w:rFonts w:ascii="Calibri" w:hAnsi="Calibri" w:cs="Calibri"/>
                <w:b/>
                <w:lang w:val="en-CA"/>
              </w:rPr>
              <w:t>μ</w:t>
            </w:r>
            <w:r w:rsidRPr="00174427">
              <w:rPr>
                <w:rFonts w:ascii="Calibri" w:hAnsi="Calibri" w:cs="Calibri"/>
                <w:b/>
                <w:lang w:val="es-MX"/>
              </w:rPr>
              <w:t>l</w:t>
            </w:r>
            <w:r w:rsidRPr="00174427">
              <w:rPr>
                <w:rFonts w:ascii="Calibri" w:hAnsi="Calibri" w:cs="Calibri"/>
                <w:b/>
              </w:rPr>
              <w:t>)</w:t>
            </w:r>
          </w:p>
        </w:tc>
      </w:tr>
      <w:tr w:rsidR="00045F1B" w:rsidRPr="002336DB" w:rsidTr="00720989">
        <w:trPr>
          <w:trHeight w:val="227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  <w:lang w:val="en-CA"/>
              </w:rPr>
              <w:t>Nuclease free water</w:t>
            </w:r>
            <w:r w:rsidRPr="002336DB">
              <w:rPr>
                <w:rFonts w:ascii="Calibri" w:hAnsi="Calibri" w:cs="Calibri"/>
                <w:color w:val="auto"/>
                <w:lang w:val="en-CA"/>
              </w:rPr>
              <w:tab/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  <w:lang w:val="en-CA"/>
              </w:rPr>
              <w:t>10.70</w:t>
            </w:r>
          </w:p>
        </w:tc>
      </w:tr>
      <w:tr w:rsidR="00045F1B" w:rsidRPr="002336DB" w:rsidTr="00720989">
        <w:trPr>
          <w:trHeight w:val="227"/>
          <w:jc w:val="center"/>
        </w:trPr>
        <w:tc>
          <w:tcPr>
            <w:tcW w:w="4788" w:type="dxa"/>
          </w:tcPr>
          <w:p w:rsidR="00045F1B" w:rsidRPr="002336DB" w:rsidRDefault="00045F1B" w:rsidP="00E747A0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  <w:lang w:val="en-CA"/>
              </w:rPr>
              <w:t>10X reaction buffer</w:t>
            </w:r>
            <w:r w:rsidRPr="002336DB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91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</w:rPr>
              <w:t>2.00</w:t>
            </w:r>
          </w:p>
        </w:tc>
      </w:tr>
      <w:tr w:rsidR="00045F1B" w:rsidRPr="002336DB" w:rsidTr="00720989">
        <w:trPr>
          <w:trHeight w:val="227"/>
          <w:jc w:val="center"/>
        </w:trPr>
        <w:tc>
          <w:tcPr>
            <w:tcW w:w="478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336DB">
              <w:rPr>
                <w:rFonts w:ascii="Calibri" w:hAnsi="Calibri" w:cs="Calibri"/>
                <w:color w:val="auto"/>
              </w:rPr>
              <w:t>dNTP</w:t>
            </w:r>
            <w:proofErr w:type="spellEnd"/>
            <w:r w:rsidRPr="002336DB">
              <w:rPr>
                <w:rFonts w:ascii="Calibri" w:hAnsi="Calibri" w:cs="Calibri"/>
                <w:color w:val="auto"/>
              </w:rPr>
              <w:t xml:space="preserve"> mix (2.5mM)</w:t>
            </w:r>
          </w:p>
        </w:tc>
        <w:tc>
          <w:tcPr>
            <w:tcW w:w="191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</w:rPr>
              <w:t>2.00</w:t>
            </w:r>
          </w:p>
        </w:tc>
      </w:tr>
      <w:tr w:rsidR="00045F1B" w:rsidRPr="002336DB" w:rsidTr="00720989">
        <w:trPr>
          <w:trHeight w:val="227"/>
          <w:jc w:val="center"/>
        </w:trPr>
        <w:tc>
          <w:tcPr>
            <w:tcW w:w="478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</w:rPr>
              <w:t xml:space="preserve">Primer I (10picomoles/ </w:t>
            </w:r>
            <w:r w:rsidRPr="002336DB">
              <w:rPr>
                <w:rFonts w:ascii="Calibri" w:hAnsi="Calibri" w:cs="Calibri"/>
                <w:color w:val="auto"/>
                <w:lang w:val="en-CA"/>
              </w:rPr>
              <w:t>μ</w:t>
            </w:r>
            <w:r w:rsidRPr="002336DB">
              <w:rPr>
                <w:rFonts w:ascii="Calibri" w:hAnsi="Calibri" w:cs="Calibri"/>
                <w:color w:val="auto"/>
              </w:rPr>
              <w:t xml:space="preserve">l) </w:t>
            </w:r>
          </w:p>
        </w:tc>
        <w:tc>
          <w:tcPr>
            <w:tcW w:w="191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</w:rPr>
              <w:t>2.00</w:t>
            </w:r>
          </w:p>
        </w:tc>
      </w:tr>
      <w:tr w:rsidR="00045F1B" w:rsidRPr="002336DB" w:rsidTr="00720989">
        <w:trPr>
          <w:trHeight w:val="227"/>
          <w:jc w:val="center"/>
        </w:trPr>
        <w:tc>
          <w:tcPr>
            <w:tcW w:w="478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</w:rPr>
              <w:t xml:space="preserve">Primer II (10picomoles/ </w:t>
            </w:r>
            <w:r w:rsidRPr="002336DB">
              <w:rPr>
                <w:rFonts w:ascii="Calibri" w:hAnsi="Calibri" w:cs="Calibri"/>
                <w:color w:val="auto"/>
                <w:lang w:val="en-CA"/>
              </w:rPr>
              <w:t>μ</w:t>
            </w:r>
            <w:r w:rsidRPr="002336DB">
              <w:rPr>
                <w:rFonts w:ascii="Calibri" w:hAnsi="Calibri" w:cs="Calibri"/>
                <w:color w:val="auto"/>
              </w:rPr>
              <w:t xml:space="preserve">l) </w:t>
            </w:r>
          </w:p>
        </w:tc>
        <w:tc>
          <w:tcPr>
            <w:tcW w:w="191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</w:rPr>
              <w:t>2.00</w:t>
            </w:r>
          </w:p>
        </w:tc>
      </w:tr>
      <w:tr w:rsidR="00045F1B" w:rsidRPr="002336DB" w:rsidTr="00720989">
        <w:trPr>
          <w:trHeight w:val="227"/>
          <w:jc w:val="center"/>
        </w:trPr>
        <w:tc>
          <w:tcPr>
            <w:tcW w:w="478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i/>
                <w:color w:val="auto"/>
                <w:lang w:val="pl-PL"/>
              </w:rPr>
              <w:t>Taq</w:t>
            </w:r>
            <w:r w:rsidRPr="002336DB">
              <w:rPr>
                <w:rFonts w:ascii="Calibri" w:hAnsi="Calibri" w:cs="Calibri"/>
                <w:color w:val="auto"/>
                <w:lang w:val="pl-PL"/>
              </w:rPr>
              <w:t xml:space="preserve"> DNA polymerase (5U)</w:t>
            </w:r>
          </w:p>
        </w:tc>
        <w:tc>
          <w:tcPr>
            <w:tcW w:w="1918" w:type="dxa"/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  <w:lang w:val="pl-PL"/>
              </w:rPr>
              <w:t>0.3</w:t>
            </w:r>
          </w:p>
        </w:tc>
      </w:tr>
      <w:tr w:rsidR="00045F1B" w:rsidRPr="002336DB" w:rsidTr="00720989">
        <w:trPr>
          <w:trHeight w:val="227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  <w:lang w:val="pl-PL"/>
              </w:rPr>
              <w:t xml:space="preserve">Template DNA (50ng/ </w:t>
            </w:r>
            <w:r w:rsidRPr="002336DB">
              <w:rPr>
                <w:rFonts w:ascii="Calibri" w:hAnsi="Calibri" w:cs="Calibri"/>
                <w:color w:val="auto"/>
                <w:lang w:val="en-CA"/>
              </w:rPr>
              <w:t>μ</w:t>
            </w:r>
            <w:r w:rsidRPr="002336DB">
              <w:rPr>
                <w:rFonts w:ascii="Calibri" w:hAnsi="Calibri" w:cs="Calibri"/>
                <w:color w:val="auto"/>
                <w:lang w:val="pl-PL"/>
              </w:rPr>
              <w:t>l)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45F1B" w:rsidRPr="002336DB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2336DB">
              <w:rPr>
                <w:rFonts w:ascii="Calibri" w:hAnsi="Calibri" w:cs="Calibri"/>
                <w:color w:val="auto"/>
                <w:lang w:val="pl-PL"/>
              </w:rPr>
              <w:t>1.00</w:t>
            </w:r>
          </w:p>
        </w:tc>
      </w:tr>
      <w:tr w:rsidR="00045F1B" w:rsidRPr="00174427" w:rsidTr="00720989">
        <w:trPr>
          <w:trHeight w:val="227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45F1B" w:rsidRPr="00174427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174427">
              <w:rPr>
                <w:rFonts w:ascii="Calibri" w:hAnsi="Calibri" w:cs="Calibri"/>
                <w:b/>
                <w:color w:val="auto"/>
              </w:rPr>
              <w:t xml:space="preserve">Total volume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045F1B" w:rsidRPr="00174427" w:rsidRDefault="00045F1B" w:rsidP="00720989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174427">
              <w:rPr>
                <w:rFonts w:ascii="Calibri" w:hAnsi="Calibri" w:cs="Calibri"/>
                <w:b/>
                <w:color w:val="auto"/>
              </w:rPr>
              <w:t>20.0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74427">
              <w:rPr>
                <w:rFonts w:ascii="Calibri" w:hAnsi="Calibri" w:cs="Calibri"/>
                <w:b/>
                <w:lang w:val="en-CA"/>
              </w:rPr>
              <w:t>μ</w:t>
            </w:r>
            <w:r w:rsidRPr="00174427">
              <w:rPr>
                <w:rFonts w:ascii="Calibri" w:hAnsi="Calibri" w:cs="Calibri"/>
                <w:b/>
                <w:lang w:val="es-MX"/>
              </w:rPr>
              <w:t>l</w:t>
            </w:r>
          </w:p>
        </w:tc>
      </w:tr>
    </w:tbl>
    <w:p w:rsidR="00045F1B" w:rsidRPr="00D466C2" w:rsidRDefault="00045F1B" w:rsidP="00D466C2">
      <w:pPr>
        <w:autoSpaceDE w:val="0"/>
        <w:autoSpaceDN w:val="0"/>
        <w:adjustRightInd w:val="0"/>
        <w:spacing w:line="312" w:lineRule="auto"/>
        <w:ind w:left="360"/>
        <w:jc w:val="both"/>
        <w:rPr>
          <w:sz w:val="28"/>
          <w:szCs w:val="28"/>
        </w:rPr>
      </w:pPr>
    </w:p>
    <w:p w:rsidR="00D466C2" w:rsidRPr="00D466C2" w:rsidRDefault="00D466C2" w:rsidP="00D466C2">
      <w:pPr>
        <w:pStyle w:val="ListParagraph"/>
        <w:autoSpaceDE w:val="0"/>
        <w:autoSpaceDN w:val="0"/>
        <w:adjustRightInd w:val="0"/>
        <w:spacing w:before="120" w:after="120" w:line="288" w:lineRule="auto"/>
        <w:jc w:val="both"/>
        <w:rPr>
          <w:b/>
          <w:smallCaps/>
          <w:sz w:val="28"/>
          <w:szCs w:val="28"/>
        </w:rPr>
      </w:pPr>
    </w:p>
    <w:p w:rsidR="00CA30EA" w:rsidRPr="00D466C2" w:rsidRDefault="00CA30EA" w:rsidP="00683313">
      <w:pPr>
        <w:pStyle w:val="NormalWeb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CA30EA" w:rsidRPr="00683313" w:rsidRDefault="00CA30EA" w:rsidP="00683313">
      <w:pPr>
        <w:pStyle w:val="NormalWeb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D20638" w:rsidRPr="00683313" w:rsidRDefault="00D20638" w:rsidP="00683313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D20638" w:rsidRPr="00683313" w:rsidSect="002E081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E5F"/>
    <w:multiLevelType w:val="multilevel"/>
    <w:tmpl w:val="F54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C15B9"/>
    <w:multiLevelType w:val="multilevel"/>
    <w:tmpl w:val="037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52CD8"/>
    <w:multiLevelType w:val="hybridMultilevel"/>
    <w:tmpl w:val="A76C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6CCE"/>
    <w:multiLevelType w:val="multilevel"/>
    <w:tmpl w:val="AD30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7E3D"/>
    <w:multiLevelType w:val="hybridMultilevel"/>
    <w:tmpl w:val="6FE0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78C"/>
    <w:multiLevelType w:val="hybridMultilevel"/>
    <w:tmpl w:val="6C5ED548"/>
    <w:lvl w:ilvl="0" w:tplc="122A5B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DC901F6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502D4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77261A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643E24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89EA0B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580EAA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DC4C95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06AD66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38C80020"/>
    <w:multiLevelType w:val="multilevel"/>
    <w:tmpl w:val="05D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46132"/>
    <w:multiLevelType w:val="hybridMultilevel"/>
    <w:tmpl w:val="2D0CADE6"/>
    <w:lvl w:ilvl="0" w:tplc="15664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40BB"/>
    <w:multiLevelType w:val="multilevel"/>
    <w:tmpl w:val="22D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2F49"/>
    <w:multiLevelType w:val="hybridMultilevel"/>
    <w:tmpl w:val="951CB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59B0"/>
    <w:multiLevelType w:val="multilevel"/>
    <w:tmpl w:val="16F2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8459D"/>
    <w:multiLevelType w:val="hybridMultilevel"/>
    <w:tmpl w:val="9948C90A"/>
    <w:lvl w:ilvl="0" w:tplc="122A5B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F502D4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77261A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643E24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89EA0B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580EAA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DC4C95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06AD66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2">
    <w:nsid w:val="67BD7ED2"/>
    <w:multiLevelType w:val="multilevel"/>
    <w:tmpl w:val="25A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340"/>
    <w:rsid w:val="00045F1B"/>
    <w:rsid w:val="001B7C7F"/>
    <w:rsid w:val="001D013D"/>
    <w:rsid w:val="001D15F4"/>
    <w:rsid w:val="0024619F"/>
    <w:rsid w:val="002E081E"/>
    <w:rsid w:val="003C7E94"/>
    <w:rsid w:val="00447E03"/>
    <w:rsid w:val="005C5340"/>
    <w:rsid w:val="00664B50"/>
    <w:rsid w:val="00683313"/>
    <w:rsid w:val="006B6BF6"/>
    <w:rsid w:val="007048C1"/>
    <w:rsid w:val="007C08D6"/>
    <w:rsid w:val="009E0166"/>
    <w:rsid w:val="00CA30EA"/>
    <w:rsid w:val="00CE6F9A"/>
    <w:rsid w:val="00D20638"/>
    <w:rsid w:val="00D31F2C"/>
    <w:rsid w:val="00D41BE9"/>
    <w:rsid w:val="00D466C2"/>
    <w:rsid w:val="00DE5738"/>
    <w:rsid w:val="00E747A0"/>
    <w:rsid w:val="00F229CF"/>
    <w:rsid w:val="00F339CA"/>
    <w:rsid w:val="00FE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94"/>
  </w:style>
  <w:style w:type="paragraph" w:styleId="Heading2">
    <w:name w:val="heading 2"/>
    <w:basedOn w:val="Normal"/>
    <w:link w:val="Heading2Char"/>
    <w:uiPriority w:val="9"/>
    <w:qFormat/>
    <w:rsid w:val="005C5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3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C53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53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B6BF6"/>
    <w:rPr>
      <w:i/>
      <w:iCs/>
    </w:rPr>
  </w:style>
  <w:style w:type="paragraph" w:styleId="NormalWeb">
    <w:name w:val="Normal (Web)"/>
    <w:basedOn w:val="Normal"/>
    <w:uiPriority w:val="99"/>
    <w:unhideWhenUsed/>
    <w:rsid w:val="006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313"/>
    <w:pPr>
      <w:ind w:left="720"/>
      <w:contextualSpacing/>
    </w:pPr>
  </w:style>
  <w:style w:type="paragraph" w:customStyle="1" w:styleId="Default">
    <w:name w:val="Default"/>
    <w:rsid w:val="00045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ereditary_disease" TargetMode="External"/><Relationship Id="rId13" Type="http://schemas.openxmlformats.org/officeDocument/2006/relationships/hyperlink" Target="javascript:void(%22Click%20to%20expand%20this%20glossary%20term%22)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Gene" TargetMode="External"/><Relationship Id="rId12" Type="http://schemas.openxmlformats.org/officeDocument/2006/relationships/hyperlink" Target="javascript:void(%22Click%20to%20expand%20this%20glossary%20term%22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%22Click%20to%20expand%20this%20glossary%20term%22)" TargetMode="External"/><Relationship Id="rId11" Type="http://schemas.openxmlformats.org/officeDocument/2006/relationships/hyperlink" Target="javascript:void(%22Click%20to%20expand%20this%20glossary%20term%22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%22Click%20to%20expand%20this%20glossary%20term%22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fectious_diseas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8B7F-9A17-48FC-8D0E-71FAC57C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ArabianHorse</dc:creator>
  <cp:keywords/>
  <dc:description/>
  <cp:lastModifiedBy>ArabianHorse</cp:lastModifiedBy>
  <cp:revision>18</cp:revision>
  <dcterms:created xsi:type="dcterms:W3CDTF">2019-03-02T20:17:00Z</dcterms:created>
  <dcterms:modified xsi:type="dcterms:W3CDTF">2019-03-03T20:51:00Z</dcterms:modified>
</cp:coreProperties>
</file>