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21" w:rsidRDefault="009D1121" w:rsidP="009D1121">
      <w:pPr>
        <w:shd w:val="clear" w:color="auto" w:fill="FFFFFF"/>
        <w:bidi w:val="0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9D1121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Endospore Staining:</w:t>
      </w:r>
    </w:p>
    <w:p w:rsidR="005B1538" w:rsidRPr="009D1121" w:rsidRDefault="005B1538" w:rsidP="005B1538">
      <w:pPr>
        <w:shd w:val="clear" w:color="auto" w:fill="FFFFFF"/>
        <w:bidi w:val="0"/>
        <w:spacing w:after="0" w:line="240" w:lineRule="auto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</w:p>
    <w:p w:rsidR="005B1538" w:rsidRPr="00F42B5C" w:rsidRDefault="001E4B41" w:rsidP="00116E4A">
      <w:pPr>
        <w:jc w:val="right"/>
        <w:rPr>
          <w:rFonts w:ascii="Helvetica" w:hAnsi="Helvetica" w:hint="cs"/>
          <w:color w:val="000000"/>
          <w:sz w:val="28"/>
          <w:szCs w:val="28"/>
          <w:shd w:val="clear" w:color="auto" w:fill="FFFFFF"/>
          <w:rtl/>
          <w:lang w:bidi="ar-IQ"/>
        </w:rPr>
      </w:pP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Most endospore forming bacteria are found in soil or aquatic environments.  However, some species of </w:t>
      </w:r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Bacillus</w:t>
      </w:r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 a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nd </w:t>
      </w:r>
      <w:proofErr w:type="gramStart"/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Clostridium</w:t>
      </w:r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 </w:t>
      </w:r>
      <w:r w:rsidR="00116E4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.</w:t>
      </w:r>
      <w:proofErr w:type="gramEnd"/>
      <w:r w:rsidR="00116E4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5B153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br/>
      </w:r>
    </w:p>
    <w:p w:rsidR="00282F19" w:rsidRDefault="001E4B41" w:rsidP="005B1538">
      <w:pPr>
        <w:jc w:val="right"/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  </w:t>
      </w:r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Clostridium </w:t>
      </w:r>
      <w:proofErr w:type="spellStart"/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perfringens</w:t>
      </w:r>
      <w:proofErr w:type="spellEnd"/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282F19" w:rsidRDefault="001E4B41" w:rsidP="00282F19">
      <w:pPr>
        <w:jc w:val="right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 </w:t>
      </w:r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C. </w:t>
      </w:r>
      <w:proofErr w:type="spellStart"/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botulinum</w:t>
      </w:r>
      <w:proofErr w:type="spellEnd"/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(a potential agent of bioterrorism</w:t>
      </w:r>
    </w:p>
    <w:p w:rsidR="00282F19" w:rsidRDefault="001E4B41" w:rsidP="00282F19">
      <w:pPr>
        <w:jc w:val="right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 </w:t>
      </w:r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C. </w:t>
      </w:r>
      <w:proofErr w:type="spellStart"/>
      <w:r w:rsidRPr="005B1538">
        <w:rPr>
          <w:rStyle w:val="Emphasis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tetani</w:t>
      </w:r>
      <w:proofErr w:type="spellEnd"/>
      <w:r w:rsidRPr="005B1538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  <w:t> a</w:t>
      </w: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re the causative agents of gas gangrene</w:t>
      </w:r>
    </w:p>
    <w:p w:rsidR="005B1538" w:rsidRPr="00282F19" w:rsidRDefault="005B1538" w:rsidP="00282F19">
      <w:pPr>
        <w:jc w:val="right"/>
        <w:rPr>
          <w:rFonts w:ascii="Helvetica" w:hAnsi="Helvetica" w:hint="cs"/>
          <w:color w:val="000000"/>
          <w:sz w:val="28"/>
          <w:szCs w:val="28"/>
          <w:shd w:val="clear" w:color="auto" w:fill="FFFFFF"/>
          <w:rtl/>
          <w:lang w:bidi="ar-IQ"/>
        </w:rPr>
      </w:pPr>
    </w:p>
    <w:p w:rsidR="00282F19" w:rsidRDefault="005B1538" w:rsidP="005B1538">
      <w:pPr>
        <w:jc w:val="right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E</w:t>
      </w:r>
      <w:r w:rsidR="001E4B41"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ndospores can form within different areas of the vegetative cell. They can be central, </w:t>
      </w:r>
      <w:proofErr w:type="spellStart"/>
      <w:r w:rsidR="001E4B41"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subterminal</w:t>
      </w:r>
      <w:proofErr w:type="spellEnd"/>
      <w:r w:rsidR="001E4B41"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, or terminal.</w:t>
      </w:r>
    </w:p>
    <w:p w:rsidR="00282F19" w:rsidRDefault="001E4B41" w:rsidP="005B1538">
      <w:pPr>
        <w:jc w:val="right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 Central endospores are located within the middle of the vegetative cell.</w:t>
      </w:r>
    </w:p>
    <w:p w:rsidR="00306BF3" w:rsidRDefault="001E4B41" w:rsidP="005B1538">
      <w:pPr>
        <w:jc w:val="right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 Terminal endospores are located at the end of the vegetative cell.</w:t>
      </w:r>
    </w:p>
    <w:p w:rsidR="001132F1" w:rsidRPr="000C302A" w:rsidRDefault="001E4B41" w:rsidP="005B1538">
      <w:pPr>
        <w:jc w:val="right"/>
        <w:rPr>
          <w:rFonts w:ascii="Helvetica" w:hAnsi="Helvetica"/>
          <w:color w:val="000000"/>
          <w:sz w:val="28"/>
          <w:szCs w:val="28"/>
          <w:shd w:val="clear" w:color="auto" w:fill="FFFFFF"/>
          <w:rtl/>
          <w:lang w:bidi="ar-IQ"/>
        </w:rPr>
      </w:pPr>
      <w:r w:rsidRPr="000C302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 Sub-terminal endospores are located between the middle and the end of the cell.</w:t>
      </w:r>
    </w:p>
    <w:p w:rsidR="006052B5" w:rsidRPr="000C302A" w:rsidRDefault="006052B5" w:rsidP="009D1121">
      <w:pPr>
        <w:jc w:val="right"/>
        <w:rPr>
          <w:rFonts w:hint="cs"/>
          <w:sz w:val="28"/>
          <w:szCs w:val="28"/>
          <w:rtl/>
          <w:lang w:bidi="ar-IQ"/>
        </w:rPr>
      </w:pPr>
    </w:p>
    <w:p w:rsidR="00247C8F" w:rsidRPr="000C302A" w:rsidRDefault="00247C8F" w:rsidP="009D1121">
      <w:pPr>
        <w:jc w:val="right"/>
        <w:rPr>
          <w:rFonts w:hint="cs"/>
          <w:sz w:val="28"/>
          <w:szCs w:val="28"/>
          <w:lang w:bidi="ar-IQ"/>
        </w:rPr>
      </w:pPr>
    </w:p>
    <w:p w:rsidR="00247C8F" w:rsidRPr="000C302A" w:rsidRDefault="006052B5" w:rsidP="009D1121">
      <w:pPr>
        <w:jc w:val="right"/>
        <w:rPr>
          <w:sz w:val="28"/>
          <w:szCs w:val="28"/>
          <w:rtl/>
          <w:lang w:bidi="ar-IQ"/>
        </w:rPr>
      </w:pPr>
      <w:r w:rsidRPr="000C302A">
        <w:rPr>
          <w:noProof/>
          <w:sz w:val="28"/>
          <w:szCs w:val="28"/>
        </w:rPr>
        <w:drawing>
          <wp:inline distT="0" distB="0" distL="0" distR="0" wp14:anchorId="236C8E26" wp14:editId="169605C6">
            <wp:extent cx="3867150" cy="2162175"/>
            <wp:effectExtent l="0" t="0" r="0" b="9525"/>
            <wp:docPr id="1" name="Picture 1" descr="Spore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e lo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41" w:rsidRDefault="00247C8F" w:rsidP="00247C8F">
      <w:pPr>
        <w:tabs>
          <w:tab w:val="left" w:pos="2516"/>
        </w:tabs>
        <w:rPr>
          <w:rFonts w:hint="cs"/>
          <w:sz w:val="28"/>
          <w:szCs w:val="28"/>
          <w:rtl/>
          <w:lang w:bidi="ar-IQ"/>
        </w:rPr>
      </w:pPr>
      <w:r w:rsidRPr="000C302A">
        <w:rPr>
          <w:sz w:val="28"/>
          <w:szCs w:val="28"/>
          <w:rtl/>
          <w:lang w:bidi="ar-IQ"/>
        </w:rPr>
        <w:tab/>
      </w:r>
    </w:p>
    <w:p w:rsidR="00F503CC" w:rsidRDefault="00F503CC" w:rsidP="00247C8F">
      <w:pPr>
        <w:tabs>
          <w:tab w:val="left" w:pos="2516"/>
        </w:tabs>
        <w:rPr>
          <w:sz w:val="28"/>
          <w:szCs w:val="28"/>
          <w:rtl/>
          <w:lang w:bidi="ar-IQ"/>
        </w:rPr>
      </w:pPr>
    </w:p>
    <w:p w:rsidR="00F503CC" w:rsidRPr="000C302A" w:rsidRDefault="00F503CC" w:rsidP="00247C8F">
      <w:pPr>
        <w:tabs>
          <w:tab w:val="left" w:pos="2516"/>
        </w:tabs>
        <w:rPr>
          <w:rFonts w:hint="cs"/>
          <w:sz w:val="28"/>
          <w:szCs w:val="28"/>
          <w:rtl/>
          <w:lang w:bidi="ar-IQ"/>
        </w:rPr>
      </w:pPr>
    </w:p>
    <w:p w:rsidR="00132FBE" w:rsidRPr="00F503CC" w:rsidRDefault="00132FBE" w:rsidP="00132FBE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i/>
          <w:iCs/>
          <w:color w:val="000000"/>
          <w:sz w:val="28"/>
          <w:szCs w:val="28"/>
        </w:rPr>
      </w:pPr>
      <w:r w:rsidRPr="00F503CC">
        <w:rPr>
          <w:rStyle w:val="Strong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Principle of Spore Staining:</w:t>
      </w:r>
    </w:p>
    <w:p w:rsidR="00F503CC" w:rsidRDefault="00132FBE" w:rsidP="00F503CC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0C302A">
        <w:rPr>
          <w:rFonts w:ascii="Helvetica" w:hAnsi="Helvetica"/>
          <w:color w:val="000000"/>
          <w:sz w:val="28"/>
          <w:szCs w:val="28"/>
        </w:rPr>
        <w:t>A 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differential staining</w:t>
      </w:r>
      <w:r w:rsidRPr="000C302A">
        <w:rPr>
          <w:rFonts w:ascii="Helvetica" w:hAnsi="Helvetica"/>
          <w:color w:val="000000"/>
          <w:sz w:val="28"/>
          <w:szCs w:val="28"/>
        </w:rPr>
        <w:t> technique is used to distinguish between the vegetative cells and the endospores.</w:t>
      </w:r>
    </w:p>
    <w:p w:rsidR="00132FBE" w:rsidRPr="000C302A" w:rsidRDefault="00132FBE" w:rsidP="00F503CC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0C302A">
        <w:rPr>
          <w:rFonts w:ascii="Helvetica" w:hAnsi="Helvetica"/>
          <w:color w:val="000000"/>
          <w:sz w:val="28"/>
          <w:szCs w:val="28"/>
        </w:rPr>
        <w:t>  A 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primary stain (malachite green)</w:t>
      </w:r>
      <w:r w:rsidRPr="000C302A">
        <w:rPr>
          <w:rFonts w:ascii="Helvetica" w:hAnsi="Helvetica"/>
          <w:color w:val="000000"/>
          <w:sz w:val="28"/>
          <w:szCs w:val="28"/>
        </w:rPr>
        <w:t> is used to stain the endospores.  Because endospores resist staining, the malachite green will be 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forced</w:t>
      </w:r>
      <w:r w:rsidRPr="000C302A">
        <w:rPr>
          <w:rFonts w:ascii="Helvetica" w:hAnsi="Helvetica"/>
          <w:color w:val="000000"/>
          <w:sz w:val="28"/>
          <w:szCs w:val="28"/>
        </w:rPr>
        <w:t> into </w:t>
      </w:r>
      <w:r w:rsidRPr="000C302A">
        <w:rPr>
          <w:rStyle w:val="Emphasis"/>
          <w:rFonts w:ascii="inherit" w:hAnsi="inherit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0C302A">
        <w:rPr>
          <w:rStyle w:val="Emphasis"/>
          <w:rFonts w:ascii="inherit" w:hAnsi="inherit"/>
          <w:color w:val="000000"/>
          <w:sz w:val="28"/>
          <w:szCs w:val="28"/>
          <w:bdr w:val="none" w:sz="0" w:space="0" w:color="auto" w:frame="1"/>
        </w:rPr>
        <w:t>i.e</w:t>
      </w:r>
      <w:proofErr w:type="spellEnd"/>
      <w:r w:rsidRPr="000C302A">
        <w:rPr>
          <w:rStyle w:val="Emphasis"/>
          <w:rFonts w:ascii="inherit" w:hAnsi="inherit"/>
          <w:color w:val="000000"/>
          <w:sz w:val="28"/>
          <w:szCs w:val="28"/>
          <w:bdr w:val="none" w:sz="0" w:space="0" w:color="auto" w:frame="1"/>
        </w:rPr>
        <w:t>, malachite green permeate the spore wall)</w:t>
      </w:r>
      <w:r w:rsidRPr="000C302A">
        <w:rPr>
          <w:rFonts w:ascii="Helvetica" w:hAnsi="Helvetica"/>
          <w:color w:val="000000"/>
          <w:sz w:val="28"/>
          <w:szCs w:val="28"/>
        </w:rPr>
        <w:t> the endospores by 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heating</w:t>
      </w:r>
      <w:r w:rsidRPr="000C302A">
        <w:rPr>
          <w:rFonts w:ascii="Helvetica" w:hAnsi="Helvetica"/>
          <w:color w:val="000000"/>
          <w:sz w:val="28"/>
          <w:szCs w:val="28"/>
        </w:rPr>
        <w:t>.  In this technique heating acts as a 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mordant</w:t>
      </w:r>
      <w:r w:rsidRPr="000C302A">
        <w:rPr>
          <w:rFonts w:ascii="Helvetica" w:hAnsi="Helvetica"/>
          <w:color w:val="000000"/>
          <w:sz w:val="28"/>
          <w:szCs w:val="28"/>
        </w:rPr>
        <w:t>.</w:t>
      </w:r>
    </w:p>
    <w:p w:rsidR="00132FBE" w:rsidRPr="000C302A" w:rsidRDefault="00132FBE" w:rsidP="00F503CC">
      <w:pPr>
        <w:pStyle w:val="NormalWeb"/>
        <w:shd w:val="clear" w:color="auto" w:fill="FFFFFF"/>
        <w:spacing w:before="0" w:after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0C302A">
        <w:rPr>
          <w:rFonts w:ascii="Helvetica" w:hAnsi="Helvetica"/>
          <w:color w:val="000000"/>
          <w:sz w:val="28"/>
          <w:szCs w:val="28"/>
        </w:rPr>
        <w:t xml:space="preserve">There is no need of using any </w:t>
      </w:r>
      <w:proofErr w:type="spellStart"/>
      <w:r w:rsidRPr="000C302A">
        <w:rPr>
          <w:rFonts w:ascii="Helvetica" w:hAnsi="Helvetica"/>
          <w:color w:val="000000"/>
          <w:sz w:val="28"/>
          <w:szCs w:val="28"/>
        </w:rPr>
        <w:t>decolorizer</w:t>
      </w:r>
      <w:proofErr w:type="spellEnd"/>
      <w:r w:rsidRPr="000C302A">
        <w:rPr>
          <w:rFonts w:ascii="Helvetica" w:hAnsi="Helvetica"/>
          <w:color w:val="000000"/>
          <w:sz w:val="28"/>
          <w:szCs w:val="28"/>
        </w:rPr>
        <w:t xml:space="preserve"> in this spore staining as the primary dye malachite green bind relatively weakly to the cell wall and spore wall. 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Water is used to decolorize </w:t>
      </w:r>
      <w:r w:rsidRPr="000C302A">
        <w:rPr>
          <w:rFonts w:ascii="Helvetica" w:hAnsi="Helvetica"/>
          <w:color w:val="000000"/>
          <w:sz w:val="28"/>
          <w:szCs w:val="28"/>
        </w:rPr>
        <w:t>the vegetative cells.</w:t>
      </w:r>
      <w:r w:rsidRPr="000C302A">
        <w:rPr>
          <w:rStyle w:val="Strong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B56697" w:rsidRPr="00B56697" w:rsidRDefault="00B56697" w:rsidP="00B56697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t>malachite green dye is water-soluble and does not adhere well to the cell wall</w:t>
      </w:r>
    </w:p>
    <w:p w:rsidR="00B56697" w:rsidRPr="00B56697" w:rsidRDefault="00B56697" w:rsidP="00B5669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proofErr w:type="gramStart"/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t>vegetative</w:t>
      </w:r>
      <w:proofErr w:type="gramEnd"/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cells have been disrupted by heat,</w:t>
      </w:r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br/>
        <w:t>because of these reasons, the malachite green rinses easily from the vegetative cells. </w:t>
      </w:r>
      <w:r w:rsidRPr="00B5669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) </w:t>
      </w:r>
    </w:p>
    <w:p w:rsidR="00B56697" w:rsidRDefault="00B56697" w:rsidP="00F60662">
      <w:pPr>
        <w:shd w:val="clear" w:color="auto" w:fill="FFFFFF"/>
        <w:bidi w:val="0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As the endospores are resistant to staining, the endospores are equally resistant to de-staining and will retain the primary dye while </w:t>
      </w:r>
      <w:proofErr w:type="gramStart"/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t>The</w:t>
      </w:r>
      <w:proofErr w:type="gramEnd"/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addition of a counterstain or </w:t>
      </w:r>
      <w:r w:rsidRPr="00B5669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secondary stain (</w:t>
      </w:r>
      <w:proofErr w:type="spellStart"/>
      <w:r w:rsidRPr="00B5669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safranin</w:t>
      </w:r>
      <w:proofErr w:type="spellEnd"/>
      <w:r w:rsidRPr="00B5669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) is used to stain the decolorized vegetative cells</w:t>
      </w:r>
      <w:r w:rsidRPr="00B56697">
        <w:rPr>
          <w:rFonts w:ascii="Helvetica" w:eastAsia="Times New Roman" w:hAnsi="Helvetica" w:cs="Times New Roman"/>
          <w:color w:val="000000"/>
          <w:sz w:val="28"/>
          <w:szCs w:val="28"/>
        </w:rPr>
        <w:t>.</w:t>
      </w:r>
    </w:p>
    <w:p w:rsidR="00F42B5C" w:rsidRPr="00F42B5C" w:rsidRDefault="00F42B5C" w:rsidP="00F42B5C">
      <w:pPr>
        <w:bidi w:val="0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42B5C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Procedure of endospore stain: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Prepare smears of organisms to be tested for presence of endospores on a clean microscope slide and </w:t>
      </w: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air dry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it.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Heat fix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the smear.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Place a small piece of blotting </w:t>
      </w: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paper  (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>absorbent paper) over the smear and place the slide (smear side up) on a  wire gauze on a ring stand.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Heat the slide gently till it starts to evaporate (either by putting the slide on a staining rack that has been placed over a boiling water bath or via </w:t>
      </w:r>
      <w:proofErr w:type="spellStart"/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bunsen</w:t>
      </w:r>
      <w:proofErr w:type="spellEnd"/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burner).</w:t>
      </w:r>
    </w:p>
    <w:p w:rsidR="00F42B5C" w:rsidRPr="00F42B5C" w:rsidRDefault="00F42B5C" w:rsidP="00F42B5C">
      <w:p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inherit" w:eastAsia="Times New Roman" w:hAnsi="inherit" w:cs="Times New Roman"/>
          <w:b/>
          <w:bCs/>
          <w:noProof/>
          <w:color w:val="5547EF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7F212D9F" wp14:editId="36E019EF">
            <wp:extent cx="6076950" cy="4067175"/>
            <wp:effectExtent l="0" t="0" r="0" b="9525"/>
            <wp:docPr id="2" name="Picture 36" descr="Spore staining procedure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pore staining procedure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Spore staining procedure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>Remove the heat and reheat the slide as needed to </w:t>
      </w:r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keep the slide steaming for about 3-5 minutes.</w:t>
      </w:r>
      <w:r w:rsidRPr="00F42B5C">
        <w:rPr>
          <w:rFonts w:ascii="Times New Roman" w:eastAsia="Times New Roman" w:hAnsi="Times New Roman" w:cs="Times New Roman"/>
          <w:sz w:val="28"/>
          <w:szCs w:val="28"/>
        </w:rPr>
        <w:t>  As the paper begins to dry add a drop or two of </w:t>
      </w:r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malachite green</w:t>
      </w:r>
      <w:r w:rsidRPr="00F42B5C">
        <w:rPr>
          <w:rFonts w:ascii="Times New Roman" w:eastAsia="Times New Roman" w:hAnsi="Times New Roman" w:cs="Times New Roman"/>
          <w:sz w:val="28"/>
          <w:szCs w:val="28"/>
        </w:rPr>
        <w:t> to keep it moist, but don’t add so much at one time that the temperature is appreciably reduced.</w:t>
      </w:r>
      <w:r w:rsidRPr="00F42B5C">
        <w:rPr>
          <w:rFonts w:ascii="Times New Roman" w:eastAsia="Times New Roman" w:hAnsi="Times New Roman" w:cs="Times New Roman"/>
          <w:sz w:val="28"/>
          <w:szCs w:val="28"/>
        </w:rPr>
        <w:br/>
        <w:t xml:space="preserve"># </w:t>
      </w: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NOT OVERHEAT.  The process is steaming and not baking.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>After 5 minutes carefully remove the slide from the rack using a clothespin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>Remove the blotting paper and allow the slide to cool to room temperature for 2 minutes.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>Rinse the slide thoroughly with tap water (to</w:t>
      </w: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  wash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the malachite green from both sides of the microscope slide).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>Stain the smear with</w:t>
      </w:r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safranin</w:t>
      </w:r>
      <w:proofErr w:type="spellEnd"/>
      <w:r w:rsidRPr="00F42B5C">
        <w:rPr>
          <w:rFonts w:ascii="Times New Roman" w:eastAsia="Times New Roman" w:hAnsi="Times New Roman" w:cs="Times New Roman"/>
          <w:sz w:val="28"/>
          <w:szCs w:val="28"/>
        </w:rPr>
        <w:t> for 2 minutes.</w:t>
      </w:r>
    </w:p>
    <w:p w:rsidR="00F42B5C" w:rsidRPr="00F42B5C" w:rsidRDefault="00F42B5C" w:rsidP="00F42B5C">
      <w:pPr>
        <w:numPr>
          <w:ilvl w:val="0"/>
          <w:numId w:val="7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Rinse both side of the slide to remove the secondary stain </w:t>
      </w: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and  blot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the slide/ air dry.</w:t>
      </w:r>
    </w:p>
    <w:p w:rsidR="00306BF3" w:rsidRDefault="00F42B5C" w:rsidP="00306BF3">
      <w:pPr>
        <w:bidi w:val="0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</w:pPr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 xml:space="preserve">Observe the bacteria under 1000X (oil immersion) </w:t>
      </w:r>
    </w:p>
    <w:p w:rsidR="00F42B5C" w:rsidRPr="00F42B5C" w:rsidRDefault="00F42B5C" w:rsidP="00306BF3">
      <w:pPr>
        <w:bidi w:val="0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42B5C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</w:rPr>
        <w:t>Results:  </w:t>
      </w:r>
      <w:r w:rsidRPr="00F42B5C">
        <w:rPr>
          <w:rFonts w:ascii="Times New Roman" w:eastAsia="Times New Roman" w:hAnsi="Times New Roman" w:cs="Times New Roman"/>
          <w:sz w:val="28"/>
          <w:szCs w:val="28"/>
        </w:rPr>
        <w:t>The vegetative cells will appear pink/</w:t>
      </w:r>
      <w:proofErr w:type="gramStart"/>
      <w:r w:rsidRPr="00F42B5C">
        <w:rPr>
          <w:rFonts w:ascii="Times New Roman" w:eastAsia="Times New Roman" w:hAnsi="Times New Roman" w:cs="Times New Roman"/>
          <w:sz w:val="28"/>
          <w:szCs w:val="28"/>
        </w:rPr>
        <w:t>red  and</w:t>
      </w:r>
      <w:proofErr w:type="gramEnd"/>
      <w:r w:rsidRPr="00F42B5C">
        <w:rPr>
          <w:rFonts w:ascii="Times New Roman" w:eastAsia="Times New Roman" w:hAnsi="Times New Roman" w:cs="Times New Roman"/>
          <w:sz w:val="28"/>
          <w:szCs w:val="28"/>
        </w:rPr>
        <w:t xml:space="preserve"> the spores will appear green.</w:t>
      </w:r>
    </w:p>
    <w:p w:rsidR="00F42B5C" w:rsidRPr="00F42B5C" w:rsidRDefault="00F42B5C" w:rsidP="00F42B5C">
      <w:pPr>
        <w:bidi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B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4557" w:rsidRPr="00584557" w:rsidRDefault="00F42B5C" w:rsidP="00584557">
      <w:pPr>
        <w:tabs>
          <w:tab w:val="left" w:pos="2516"/>
        </w:tabs>
        <w:jc w:val="right"/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7CBC2427" wp14:editId="42A8E1F8">
            <wp:extent cx="4762500" cy="3571875"/>
            <wp:effectExtent l="0" t="0" r="0" b="9525"/>
            <wp:docPr id="18" name="Picture 18" descr="https://i2.wp.com/microbeonline.com/wp-content/uploads/2015/05/Spore-Stain.jpg?resize=500%2C37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i2.wp.com/microbeonline.com/wp-content/uploads/2015/05/Spore-Stain.jpg?resize=500%2C375&amp;ssl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57" w:rsidRDefault="00584557" w:rsidP="00584557">
      <w:pPr>
        <w:tabs>
          <w:tab w:val="left" w:pos="2516"/>
        </w:tabs>
        <w:jc w:val="right"/>
        <w:rPr>
          <w:rFonts w:hint="cs"/>
          <w:rtl/>
          <w:lang w:bidi="ar-IQ"/>
        </w:rPr>
      </w:pPr>
    </w:p>
    <w:p w:rsidR="00584557" w:rsidRPr="00524F0D" w:rsidRDefault="00584557" w:rsidP="00584557">
      <w:pPr>
        <w:tabs>
          <w:tab w:val="left" w:pos="2516"/>
        </w:tabs>
        <w:jc w:val="right"/>
        <w:rPr>
          <w:rtl/>
          <w:lang w:bidi="ar-IQ"/>
        </w:rPr>
      </w:pPr>
    </w:p>
    <w:sectPr w:rsidR="00584557" w:rsidRPr="00524F0D" w:rsidSect="00066E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15" w:rsidRDefault="00862015" w:rsidP="00524F0D">
      <w:pPr>
        <w:spacing w:after="0" w:line="240" w:lineRule="auto"/>
      </w:pPr>
      <w:r>
        <w:separator/>
      </w:r>
    </w:p>
  </w:endnote>
  <w:endnote w:type="continuationSeparator" w:id="0">
    <w:p w:rsidR="00862015" w:rsidRDefault="00862015" w:rsidP="0052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15" w:rsidRDefault="00862015" w:rsidP="00524F0D">
      <w:pPr>
        <w:spacing w:after="0" w:line="240" w:lineRule="auto"/>
      </w:pPr>
      <w:r>
        <w:separator/>
      </w:r>
    </w:p>
  </w:footnote>
  <w:footnote w:type="continuationSeparator" w:id="0">
    <w:p w:rsidR="00862015" w:rsidRDefault="00862015" w:rsidP="0052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EE5"/>
    <w:multiLevelType w:val="multilevel"/>
    <w:tmpl w:val="CDCE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242D5"/>
    <w:multiLevelType w:val="multilevel"/>
    <w:tmpl w:val="7336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C2820"/>
    <w:multiLevelType w:val="multilevel"/>
    <w:tmpl w:val="3B1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80644"/>
    <w:multiLevelType w:val="multilevel"/>
    <w:tmpl w:val="32D8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B3DE5"/>
    <w:multiLevelType w:val="multilevel"/>
    <w:tmpl w:val="8414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07FD6"/>
    <w:multiLevelType w:val="multilevel"/>
    <w:tmpl w:val="F128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75226"/>
    <w:multiLevelType w:val="multilevel"/>
    <w:tmpl w:val="AAC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73B03"/>
    <w:multiLevelType w:val="multilevel"/>
    <w:tmpl w:val="2BCA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9552F"/>
    <w:multiLevelType w:val="multilevel"/>
    <w:tmpl w:val="7EFC20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7087560"/>
    <w:multiLevelType w:val="multilevel"/>
    <w:tmpl w:val="8080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05960"/>
    <w:multiLevelType w:val="multilevel"/>
    <w:tmpl w:val="E6E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C49FA"/>
    <w:multiLevelType w:val="multilevel"/>
    <w:tmpl w:val="85F82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57440"/>
    <w:multiLevelType w:val="multilevel"/>
    <w:tmpl w:val="F4E82B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21"/>
    <w:rsid w:val="0003324B"/>
    <w:rsid w:val="00066E76"/>
    <w:rsid w:val="000C302A"/>
    <w:rsid w:val="001132F1"/>
    <w:rsid w:val="00116E4A"/>
    <w:rsid w:val="00132FBE"/>
    <w:rsid w:val="00194954"/>
    <w:rsid w:val="001E4B41"/>
    <w:rsid w:val="00247C8F"/>
    <w:rsid w:val="00282F19"/>
    <w:rsid w:val="00306BF3"/>
    <w:rsid w:val="00336A99"/>
    <w:rsid w:val="003B4C8C"/>
    <w:rsid w:val="004D2F46"/>
    <w:rsid w:val="00524F0D"/>
    <w:rsid w:val="00532B3F"/>
    <w:rsid w:val="00584557"/>
    <w:rsid w:val="005B1538"/>
    <w:rsid w:val="006052B5"/>
    <w:rsid w:val="00862015"/>
    <w:rsid w:val="009D1121"/>
    <w:rsid w:val="00A51687"/>
    <w:rsid w:val="00B56697"/>
    <w:rsid w:val="00CC41A5"/>
    <w:rsid w:val="00F42B5C"/>
    <w:rsid w:val="00F503CC"/>
    <w:rsid w:val="00F60662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4B41"/>
    <w:rPr>
      <w:i/>
      <w:iCs/>
    </w:rPr>
  </w:style>
  <w:style w:type="character" w:styleId="Strong">
    <w:name w:val="Strong"/>
    <w:basedOn w:val="DefaultParagraphFont"/>
    <w:uiPriority w:val="22"/>
    <w:qFormat/>
    <w:rsid w:val="001E4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7C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4B41"/>
    <w:rPr>
      <w:i/>
      <w:iCs/>
    </w:rPr>
  </w:style>
  <w:style w:type="character" w:styleId="Strong">
    <w:name w:val="Strong"/>
    <w:basedOn w:val="DefaultParagraphFont"/>
    <w:uiPriority w:val="22"/>
    <w:qFormat/>
    <w:rsid w:val="001E4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7C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8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34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97582">
              <w:marLeft w:val="0"/>
              <w:marRight w:val="0"/>
              <w:marTop w:val="0"/>
              <w:marBottom w:val="375"/>
              <w:divBdr>
                <w:top w:val="single" w:sz="6" w:space="19" w:color="EBEBEB"/>
                <w:left w:val="none" w:sz="0" w:space="0" w:color="auto"/>
                <w:bottom w:val="single" w:sz="6" w:space="19" w:color="EBEBEB"/>
                <w:right w:val="none" w:sz="0" w:space="0" w:color="auto"/>
              </w:divBdr>
              <w:divsChild>
                <w:div w:id="419108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8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3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5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5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2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1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2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8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2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11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4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5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3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90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1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0.wp.com/microbeonline.com/wp-content/uploads/2015/05/Procedure-of-Spore-Staini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24</cp:revision>
  <dcterms:created xsi:type="dcterms:W3CDTF">2019-10-09T04:55:00Z</dcterms:created>
  <dcterms:modified xsi:type="dcterms:W3CDTF">2022-10-16T06:09:00Z</dcterms:modified>
</cp:coreProperties>
</file>