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F" w:rsidRPr="00A81E5F" w:rsidRDefault="00A81E5F" w:rsidP="00A81E5F">
      <w:pPr>
        <w:shd w:val="clear" w:color="auto" w:fill="FFFFFF"/>
        <w:bidi w:val="0"/>
        <w:spacing w:after="225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363940"/>
          <w:spacing w:val="15"/>
          <w:kern w:val="36"/>
          <w:sz w:val="48"/>
          <w:szCs w:val="48"/>
        </w:rPr>
      </w:pPr>
      <w:r w:rsidRPr="00A81E5F">
        <w:rPr>
          <w:rFonts w:ascii="Arial Narrow" w:eastAsia="Times New Roman" w:hAnsi="Arial Narrow" w:cs="Times New Roman"/>
          <w:b/>
          <w:bCs/>
          <w:color w:val="363940"/>
          <w:spacing w:val="15"/>
          <w:kern w:val="36"/>
          <w:sz w:val="48"/>
          <w:szCs w:val="48"/>
        </w:rPr>
        <w:t>Hanging Drop Method for Bacterial Motility</w:t>
      </w:r>
    </w:p>
    <w:p w:rsidR="00A81E5F" w:rsidRPr="002B0A23" w:rsidRDefault="00A81E5F" w:rsidP="00A81E5F">
      <w:pPr>
        <w:jc w:val="right"/>
        <w:rPr>
          <w:rFonts w:ascii="Arial" w:hAnsi="Arial" w:cs="Arial"/>
          <w:color w:val="363940"/>
          <w:sz w:val="32"/>
          <w:szCs w:val="32"/>
          <w:shd w:val="clear" w:color="auto" w:fill="FFFFFF"/>
          <w:rtl/>
          <w:lang w:bidi="ar-IQ"/>
        </w:rPr>
      </w:pPr>
      <w:r w:rsidRPr="002B0A23">
        <w:rPr>
          <w:rFonts w:ascii="Arial" w:hAnsi="Arial" w:cs="Arial"/>
          <w:color w:val="363940"/>
          <w:sz w:val="32"/>
          <w:szCs w:val="32"/>
          <w:shd w:val="clear" w:color="auto" w:fill="FFFFFF"/>
        </w:rPr>
        <w:t>Hanging drop preparation is a special type of wet mount in which a drop of medium containing the organisms is placed on a microscope slide, often used in dark illumination to observe the motility of bacteria</w:t>
      </w:r>
    </w:p>
    <w:p w:rsidR="00756BE2" w:rsidRPr="002B0A23" w:rsidRDefault="00A81E5F" w:rsidP="00282BE6">
      <w:pPr>
        <w:jc w:val="right"/>
        <w:rPr>
          <w:sz w:val="32"/>
          <w:szCs w:val="32"/>
          <w:rtl/>
          <w:lang w:bidi="ar-IQ"/>
        </w:rPr>
      </w:pPr>
      <w:r w:rsidRPr="002B0A23">
        <w:rPr>
          <w:rFonts w:ascii="Arial" w:hAnsi="Arial" w:cs="Arial"/>
          <w:color w:val="363940"/>
          <w:sz w:val="32"/>
          <w:szCs w:val="32"/>
          <w:shd w:val="clear" w:color="auto" w:fill="FFFFFF"/>
        </w:rPr>
        <w:t>.</w:t>
      </w:r>
      <w:r w:rsidRPr="002B0A23">
        <w:rPr>
          <w:noProof/>
          <w:sz w:val="32"/>
          <w:szCs w:val="32"/>
        </w:rPr>
        <w:t xml:space="preserve"> </w:t>
      </w:r>
      <w:r w:rsidRPr="002B0A23">
        <w:rPr>
          <w:noProof/>
          <w:sz w:val="32"/>
          <w:szCs w:val="32"/>
        </w:rPr>
        <w:drawing>
          <wp:inline distT="0" distB="0" distL="0" distR="0" wp14:anchorId="56D41F2E" wp14:editId="22BD1136">
            <wp:extent cx="5274310" cy="2346246"/>
            <wp:effectExtent l="0" t="0" r="2540" b="0"/>
            <wp:docPr id="1" name="Picture 1" descr="https://microbeonline.com/wp-content/uploads/2014/08/Hanging-Drop-Tech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crobeonline.com/wp-content/uploads/2014/08/Hanging-Drop-Techniq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E6" w:rsidRPr="002B0A23" w:rsidRDefault="00282BE6" w:rsidP="003D2BFC">
      <w:pPr>
        <w:bidi w:val="0"/>
        <w:spacing w:line="240" w:lineRule="auto"/>
        <w:rPr>
          <w:rFonts w:ascii="Arial Narrow" w:eastAsia="Times New Roman" w:hAnsi="Arial Narrow" w:cs="Times New Roman"/>
          <w:b/>
          <w:bCs/>
          <w:spacing w:val="15"/>
          <w:sz w:val="32"/>
          <w:szCs w:val="32"/>
          <w:rtl/>
        </w:rPr>
      </w:pPr>
    </w:p>
    <w:p w:rsidR="003D2BFC" w:rsidRPr="003D2BFC" w:rsidRDefault="00282BE6" w:rsidP="00282BE6">
      <w:pPr>
        <w:bidi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0A23">
        <w:rPr>
          <w:noProof/>
          <w:sz w:val="32"/>
          <w:szCs w:val="32"/>
        </w:rPr>
        <w:drawing>
          <wp:inline distT="0" distB="0" distL="0" distR="0" wp14:anchorId="70D9C770" wp14:editId="6DC50F64">
            <wp:extent cx="3771900" cy="1685925"/>
            <wp:effectExtent l="0" t="0" r="0" b="9525"/>
            <wp:docPr id="8" name="Picture 8" descr="Hanging Drop Method for Bacterial Motility – Microb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nging Drop Method for Bacterial Motility – Microbe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BFC" w:rsidRPr="003D2BFC">
        <w:rPr>
          <w:rFonts w:ascii="Times New Roman" w:eastAsia="Times New Roman" w:hAnsi="Times New Roman" w:cs="Times New Roman"/>
          <w:sz w:val="32"/>
          <w:szCs w:val="32"/>
        </w:rPr>
        <w:t xml:space="preserve">Hanging Drop </w:t>
      </w:r>
      <w:r w:rsidR="003D2BFC" w:rsidRPr="009A6496">
        <w:rPr>
          <w:rFonts w:ascii="Times New Roman" w:eastAsia="Times New Roman" w:hAnsi="Times New Roman" w:cs="Times New Roman"/>
          <w:b/>
          <w:bCs/>
          <w:sz w:val="32"/>
          <w:szCs w:val="32"/>
        </w:rPr>
        <w:t>Method Preparation</w:t>
      </w:r>
    </w:p>
    <w:p w:rsidR="003D2BFC" w:rsidRPr="003D2BFC" w:rsidRDefault="003D2BFC" w:rsidP="003D2BFC">
      <w:pPr>
        <w:numPr>
          <w:ilvl w:val="0"/>
          <w:numId w:val="1"/>
        </w:numPr>
        <w:bidi w:val="0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363940"/>
          <w:sz w:val="32"/>
          <w:szCs w:val="32"/>
        </w:rPr>
      </w:pPr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>Take a clean glass slide and apply a paraffin ring, adhesive-tape ring to make circular concavity. (This step is not needed if a glass slide with depression is available).</w:t>
      </w:r>
    </w:p>
    <w:p w:rsidR="003D2BFC" w:rsidRPr="003D2BFC" w:rsidRDefault="003D2BFC" w:rsidP="003D2BFC">
      <w:pPr>
        <w:numPr>
          <w:ilvl w:val="0"/>
          <w:numId w:val="1"/>
        </w:numPr>
        <w:bidi w:val="0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363940"/>
          <w:sz w:val="32"/>
          <w:szCs w:val="32"/>
        </w:rPr>
      </w:pPr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 xml:space="preserve">Hold a clean coverslip by its edges and carefully dab </w:t>
      </w:r>
      <w:proofErr w:type="spellStart"/>
      <w:proofErr w:type="gramStart"/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>vaseline</w:t>
      </w:r>
      <w:proofErr w:type="spellEnd"/>
      <w:proofErr w:type="gramEnd"/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 xml:space="preserve"> on its corners using a toothpick.</w:t>
      </w:r>
    </w:p>
    <w:p w:rsidR="003D2BFC" w:rsidRPr="003D2BFC" w:rsidRDefault="003D2BFC" w:rsidP="003D2BFC">
      <w:pPr>
        <w:numPr>
          <w:ilvl w:val="0"/>
          <w:numId w:val="1"/>
        </w:numPr>
        <w:bidi w:val="0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363940"/>
          <w:sz w:val="32"/>
          <w:szCs w:val="32"/>
        </w:rPr>
      </w:pPr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lastRenderedPageBreak/>
        <w:t xml:space="preserve">Place a </w:t>
      </w:r>
      <w:proofErr w:type="spellStart"/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>loopful</w:t>
      </w:r>
      <w:proofErr w:type="spellEnd"/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 xml:space="preserve"> of the fresh broth culture to be tested in the center of the prepared coverslip. Use a light inoculum (not visibly turbid).</w:t>
      </w:r>
    </w:p>
    <w:p w:rsidR="003D2BFC" w:rsidRPr="003D2BFC" w:rsidRDefault="003D2BFC" w:rsidP="003D2BFC">
      <w:pPr>
        <w:numPr>
          <w:ilvl w:val="0"/>
          <w:numId w:val="1"/>
        </w:numPr>
        <w:bidi w:val="0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363940"/>
          <w:sz w:val="32"/>
          <w:szCs w:val="32"/>
        </w:rPr>
      </w:pPr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 xml:space="preserve">Turn the prepared glass slide or concavity slide upside down (concavity down) over the drop on the coverslip so that the </w:t>
      </w:r>
      <w:proofErr w:type="spellStart"/>
      <w:proofErr w:type="gramStart"/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>vaseline</w:t>
      </w:r>
      <w:proofErr w:type="spellEnd"/>
      <w:proofErr w:type="gramEnd"/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 xml:space="preserve"> seals the coverslip to the slide around the concavity.</w:t>
      </w:r>
    </w:p>
    <w:p w:rsidR="003D2BFC" w:rsidRPr="003D2BFC" w:rsidRDefault="003D2BFC" w:rsidP="003D2BFC">
      <w:pPr>
        <w:numPr>
          <w:ilvl w:val="0"/>
          <w:numId w:val="1"/>
        </w:numPr>
        <w:bidi w:val="0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363940"/>
          <w:sz w:val="32"/>
          <w:szCs w:val="32"/>
        </w:rPr>
      </w:pPr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>Turn the slide over so the coverslip is on top and allow organisms to “settle” for a minute. The drop can be observed hanging from the coverslip over the concavity.</w:t>
      </w:r>
    </w:p>
    <w:p w:rsidR="003D2BFC" w:rsidRPr="003D2BFC" w:rsidRDefault="003D2BFC" w:rsidP="008C1E88">
      <w:pPr>
        <w:bidi w:val="0"/>
        <w:spacing w:before="100" w:beforeAutospacing="1" w:after="150" w:line="240" w:lineRule="auto"/>
        <w:rPr>
          <w:rFonts w:ascii="Times New Roman" w:eastAsia="Times New Roman" w:hAnsi="Times New Roman" w:cs="Times New Roman"/>
          <w:i/>
          <w:iCs/>
          <w:color w:val="363940"/>
          <w:sz w:val="32"/>
          <w:szCs w:val="32"/>
        </w:rPr>
      </w:pPr>
      <w:r w:rsidRPr="009A6496">
        <w:rPr>
          <w:rFonts w:ascii="Times New Roman" w:eastAsia="Times New Roman" w:hAnsi="Times New Roman" w:cs="Times New Roman"/>
          <w:b/>
          <w:bCs/>
          <w:i/>
          <w:iCs/>
          <w:color w:val="363940"/>
          <w:sz w:val="32"/>
          <w:szCs w:val="32"/>
        </w:rPr>
        <w:t>Brownian movement</w:t>
      </w:r>
      <w:r w:rsidRPr="003D2BFC">
        <w:rPr>
          <w:rFonts w:ascii="Times New Roman" w:eastAsia="Times New Roman" w:hAnsi="Times New Roman" w:cs="Times New Roman"/>
          <w:i/>
          <w:iCs/>
          <w:color w:val="363940"/>
          <w:sz w:val="32"/>
          <w:szCs w:val="32"/>
        </w:rPr>
        <w:t>, which is an oscillatory movement about a nearly fixed point possessed by all small bodies suspended in fluid and due to irregularities in their bombardments by molecules of water.</w:t>
      </w:r>
    </w:p>
    <w:p w:rsidR="003D2BFC" w:rsidRPr="003D2BFC" w:rsidRDefault="003D2BFC" w:rsidP="003D2BFC">
      <w:pPr>
        <w:bidi w:val="0"/>
        <w:spacing w:before="100" w:beforeAutospacing="1" w:after="30" w:line="240" w:lineRule="auto"/>
        <w:outlineLvl w:val="2"/>
        <w:rPr>
          <w:rFonts w:ascii="Arial Narrow" w:eastAsia="Times New Roman" w:hAnsi="Arial Narrow" w:cs="Times New Roman"/>
          <w:b/>
          <w:bCs/>
          <w:spacing w:val="15"/>
          <w:sz w:val="32"/>
          <w:szCs w:val="32"/>
        </w:rPr>
      </w:pPr>
      <w:r w:rsidRPr="003D2BFC">
        <w:rPr>
          <w:rFonts w:ascii="Arial" w:eastAsia="Times New Roman" w:hAnsi="Arial" w:cs="Arial"/>
          <w:b/>
          <w:bCs/>
          <w:spacing w:val="15"/>
          <w:sz w:val="32"/>
          <w:szCs w:val="32"/>
        </w:rPr>
        <w:t>Uses</w:t>
      </w:r>
    </w:p>
    <w:p w:rsidR="008C1E88" w:rsidRPr="002B0A23" w:rsidRDefault="003D2BFC" w:rsidP="003D2BFC">
      <w:pPr>
        <w:bidi w:val="0"/>
        <w:spacing w:after="300" w:line="240" w:lineRule="auto"/>
        <w:rPr>
          <w:rFonts w:ascii="Times New Roman" w:eastAsia="Times New Roman" w:hAnsi="Times New Roman" w:cs="Times New Roman"/>
          <w:color w:val="363940"/>
          <w:sz w:val="32"/>
          <w:szCs w:val="32"/>
        </w:rPr>
      </w:pPr>
      <w:r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>Hanging drop preparation is used to study the motility of bacteria</w:t>
      </w:r>
    </w:p>
    <w:p w:rsidR="003D2BFC" w:rsidRPr="003D2BFC" w:rsidRDefault="002B0A23" w:rsidP="008C1E88">
      <w:pPr>
        <w:bidi w:val="0"/>
        <w:spacing w:after="300" w:line="240" w:lineRule="auto"/>
        <w:rPr>
          <w:rFonts w:ascii="Times New Roman" w:eastAsia="Times New Roman" w:hAnsi="Times New Roman" w:cs="Times New Roman"/>
          <w:color w:val="363940"/>
          <w:sz w:val="32"/>
          <w:szCs w:val="32"/>
        </w:rPr>
      </w:pPr>
      <w:r w:rsidRPr="002B0A23">
        <w:rPr>
          <w:rFonts w:ascii="Times New Roman" w:eastAsia="Times New Roman" w:hAnsi="Times New Roman" w:cs="Times New Roman"/>
          <w:noProof/>
          <w:color w:val="363940"/>
          <w:sz w:val="32"/>
          <w:szCs w:val="32"/>
        </w:rPr>
        <w:drawing>
          <wp:inline distT="0" distB="0" distL="0" distR="0" wp14:anchorId="4198E5BC" wp14:editId="21B221EF">
            <wp:extent cx="5495925" cy="3533775"/>
            <wp:effectExtent l="0" t="0" r="9525" b="9525"/>
            <wp:docPr id="9" name="Picture 9" descr="C:\Users\ddll\Desktop\hanging-drop-slide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ll\Desktop\hanging-drop-slide-te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BFC" w:rsidRPr="003D2BFC">
        <w:rPr>
          <w:rFonts w:ascii="Times New Roman" w:eastAsia="Times New Roman" w:hAnsi="Times New Roman" w:cs="Times New Roman"/>
          <w:color w:val="363940"/>
          <w:sz w:val="32"/>
          <w:szCs w:val="32"/>
        </w:rPr>
        <w:t>;</w:t>
      </w:r>
      <w:r w:rsidRPr="002B0A23">
        <w:rPr>
          <w:rFonts w:ascii="Times New Roman" w:eastAsia="Times New Roman" w:hAnsi="Times New Roman" w:cs="Times New Roman"/>
          <w:noProof/>
          <w:color w:val="363940"/>
          <w:sz w:val="32"/>
          <w:szCs w:val="32"/>
        </w:rPr>
        <w:lastRenderedPageBreak/>
        <w:drawing>
          <wp:inline distT="0" distB="0" distL="0" distR="0" wp14:anchorId="49CC8FFC" wp14:editId="47BC9F4C">
            <wp:extent cx="5334000" cy="1847850"/>
            <wp:effectExtent l="0" t="0" r="0" b="0"/>
            <wp:docPr id="10" name="Picture 10" descr="C:\Users\dd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B0A23">
        <w:rPr>
          <w:rFonts w:ascii="Times New Roman" w:eastAsia="Times New Roman" w:hAnsi="Times New Roman" w:cs="Times New Roman"/>
          <w:noProof/>
          <w:color w:val="363940"/>
          <w:sz w:val="32"/>
          <w:szCs w:val="32"/>
        </w:rPr>
        <w:drawing>
          <wp:inline distT="0" distB="0" distL="0" distR="0" wp14:anchorId="2A37FDE7" wp14:editId="411451D9">
            <wp:extent cx="5276850" cy="2714625"/>
            <wp:effectExtent l="0" t="0" r="0" b="9525"/>
            <wp:docPr id="11" name="Picture 11" descr="C:\Users\dd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2BFC" w:rsidRPr="003D2BFC" w:rsidRDefault="008C1E88" w:rsidP="008C1E88">
      <w:pPr>
        <w:bidi w:val="0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A23">
        <w:rPr>
          <w:rFonts w:ascii="Times New Roman" w:eastAsia="Times New Roman" w:hAnsi="Times New Roman" w:cs="Times New Roman"/>
          <w:color w:val="363940"/>
          <w:sz w:val="32"/>
          <w:szCs w:val="32"/>
        </w:rPr>
        <w:t>\</w:t>
      </w:r>
    </w:p>
    <w:p w:rsidR="003D2BFC" w:rsidRPr="00A81E5F" w:rsidRDefault="003D2BFC" w:rsidP="003D2BFC">
      <w:pPr>
        <w:jc w:val="right"/>
        <w:rPr>
          <w:rtl/>
          <w:lang w:bidi="ar-IQ"/>
        </w:rPr>
      </w:pPr>
    </w:p>
    <w:sectPr w:rsidR="003D2BFC" w:rsidRPr="00A81E5F" w:rsidSect="00FD78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128"/>
    <w:multiLevelType w:val="multilevel"/>
    <w:tmpl w:val="B288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74397"/>
    <w:multiLevelType w:val="multilevel"/>
    <w:tmpl w:val="528E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C6F6A"/>
    <w:multiLevelType w:val="multilevel"/>
    <w:tmpl w:val="25F6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816C2"/>
    <w:multiLevelType w:val="multilevel"/>
    <w:tmpl w:val="6FD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AE6B0E"/>
    <w:multiLevelType w:val="multilevel"/>
    <w:tmpl w:val="A8D4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AD4684E"/>
    <w:multiLevelType w:val="multilevel"/>
    <w:tmpl w:val="66681C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7DF91968"/>
    <w:multiLevelType w:val="multilevel"/>
    <w:tmpl w:val="CB6EB038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199"/>
        </w:tabs>
        <w:ind w:left="419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359"/>
        </w:tabs>
        <w:ind w:left="635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079"/>
        </w:tabs>
        <w:ind w:left="707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19"/>
        </w:tabs>
        <w:ind w:left="851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239"/>
        </w:tabs>
        <w:ind w:left="9239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5F"/>
    <w:rsid w:val="00282BE6"/>
    <w:rsid w:val="002B0A23"/>
    <w:rsid w:val="003D2BFC"/>
    <w:rsid w:val="00756BE2"/>
    <w:rsid w:val="008C1E88"/>
    <w:rsid w:val="00931A54"/>
    <w:rsid w:val="009A6496"/>
    <w:rsid w:val="00A81E5F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49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068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7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60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24" w:space="0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11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24" w:space="0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30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77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49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9991">
                      <w:marLeft w:val="-300"/>
                      <w:marRight w:val="-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59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1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6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7</cp:revision>
  <dcterms:created xsi:type="dcterms:W3CDTF">2022-10-15T23:05:00Z</dcterms:created>
  <dcterms:modified xsi:type="dcterms:W3CDTF">2022-10-16T06:27:00Z</dcterms:modified>
</cp:coreProperties>
</file>