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8D7B946" w:rsidR="00142031" w:rsidRPr="00122E0E" w:rsidRDefault="00142031" w:rsidP="00142031">
      <w:pPr>
        <w:rPr>
          <w:b/>
          <w:bCs/>
          <w:sz w:val="20"/>
          <w:szCs w:val="20"/>
        </w:rPr>
      </w:pPr>
    </w:p>
    <w:p w14:paraId="5F15D7D8" w14:textId="76EB7304" w:rsidR="008F39C1" w:rsidRPr="00D47951" w:rsidRDefault="00122E0E" w:rsidP="00122E0E">
      <w:pPr>
        <w:rPr>
          <w:b/>
          <w:bCs/>
          <w:sz w:val="40"/>
          <w:szCs w:val="40"/>
        </w:rPr>
      </w:pPr>
      <w:r w:rsidRPr="00122E0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BB2B2C0">
                <wp:simplePos x="0" y="0"/>
                <wp:positionH relativeFrom="column">
                  <wp:posOffset>5295900</wp:posOffset>
                </wp:positionH>
                <wp:positionV relativeFrom="paragraph">
                  <wp:posOffset>-3810</wp:posOffset>
                </wp:positionV>
                <wp:extent cx="109537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17pt;margin-top:-.3pt;width:86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" path="m,l1095375,r,1424940l,1424940,,xm39390,39390r,1346160l1055985,1385550r,-1346160l39390,39390xe" fillcolor="#4472c4 [3204]" strokecolor="#1f3763 [1604]" strokeweight=".5pt">
                <v:stroke joinstyle="miter"/>
                <v:path arrowok="t" o:connecttype="custom" o:connectlocs="0,0;1095375,0;1095375,1424940;0,1424940;0,0;39390,39390;39390,1385550;1055985,1385550;1055985,39390;39390,39390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 xml:space="preserve">                                                    </w:t>
      </w:r>
      <w:r w:rsidRPr="00122E0E">
        <w:rPr>
          <w:noProof/>
          <w:sz w:val="26"/>
          <w:szCs w:val="26"/>
        </w:rPr>
        <w:t xml:space="preserve">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43C2D21F" wp14:editId="620E6977">
            <wp:extent cx="105727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4B89E63B" w:rsidR="00142031" w:rsidRPr="008F39C1" w:rsidRDefault="00142031" w:rsidP="00122E0E">
      <w:pPr>
        <w:tabs>
          <w:tab w:val="left" w:pos="89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Pr="00122E0E">
        <w:rPr>
          <w:b/>
          <w:bCs/>
          <w:sz w:val="26"/>
          <w:szCs w:val="26"/>
        </w:rPr>
        <w:t>:</w:t>
      </w:r>
      <w:r w:rsidR="00122E0E" w:rsidRPr="00122E0E">
        <w:rPr>
          <w:b/>
          <w:bCs/>
          <w:sz w:val="26"/>
          <w:szCs w:val="26"/>
        </w:rPr>
        <w:t xml:space="preserve"> </w:t>
      </w:r>
      <w:proofErr w:type="spellStart"/>
      <w:r w:rsidR="00122E0E" w:rsidRPr="00122E0E">
        <w:rPr>
          <w:b/>
          <w:bCs/>
          <w:sz w:val="26"/>
          <w:szCs w:val="26"/>
        </w:rPr>
        <w:t>Hazim</w:t>
      </w:r>
      <w:proofErr w:type="spellEnd"/>
      <w:r w:rsidR="00122E0E" w:rsidRPr="00122E0E">
        <w:rPr>
          <w:b/>
          <w:bCs/>
          <w:sz w:val="26"/>
          <w:szCs w:val="26"/>
        </w:rPr>
        <w:t xml:space="preserve"> </w:t>
      </w:r>
      <w:proofErr w:type="spellStart"/>
      <w:r w:rsidR="00122E0E" w:rsidRPr="00122E0E">
        <w:rPr>
          <w:b/>
          <w:bCs/>
          <w:sz w:val="26"/>
          <w:szCs w:val="26"/>
        </w:rPr>
        <w:t>Hashim</w:t>
      </w:r>
      <w:proofErr w:type="spellEnd"/>
      <w:r w:rsidR="00122E0E" w:rsidRPr="00122E0E">
        <w:rPr>
          <w:b/>
          <w:bCs/>
          <w:sz w:val="26"/>
          <w:szCs w:val="26"/>
        </w:rPr>
        <w:t xml:space="preserve"> Mohammed</w:t>
      </w:r>
      <w:r w:rsidR="00122E0E">
        <w:rPr>
          <w:sz w:val="26"/>
          <w:szCs w:val="26"/>
        </w:rPr>
        <w:tab/>
      </w:r>
    </w:p>
    <w:p w14:paraId="01C50924" w14:textId="7CAE139D" w:rsidR="00142031" w:rsidRPr="008F39C1" w:rsidRDefault="00142031" w:rsidP="00FA696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22E0E">
        <w:rPr>
          <w:sz w:val="26"/>
          <w:szCs w:val="26"/>
        </w:rPr>
        <w:t xml:space="preserve"> </w:t>
      </w:r>
      <w:r w:rsidR="00122E0E" w:rsidRPr="00122E0E">
        <w:rPr>
          <w:b/>
          <w:bCs/>
          <w:sz w:val="26"/>
          <w:szCs w:val="26"/>
        </w:rPr>
        <w:t>Professor</w:t>
      </w:r>
    </w:p>
    <w:p w14:paraId="608D9FC0" w14:textId="1200A42F" w:rsidR="00142031" w:rsidRPr="008F39C1" w:rsidRDefault="00142031" w:rsidP="00122E0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</w:t>
      </w:r>
      <w:r w:rsidRPr="00122E0E">
        <w:rPr>
          <w:b/>
          <w:bCs/>
          <w:sz w:val="26"/>
          <w:szCs w:val="26"/>
        </w:rPr>
        <w:t xml:space="preserve">: </w:t>
      </w:r>
      <w:r w:rsidR="00122E0E" w:rsidRPr="00122E0E">
        <w:rPr>
          <w:b/>
          <w:bCs/>
          <w:sz w:val="26"/>
          <w:szCs w:val="26"/>
        </w:rPr>
        <w:t>hazim.mohammed@s.edu.krd</w:t>
      </w:r>
    </w:p>
    <w:p w14:paraId="03B22A1F" w14:textId="4D9744FA" w:rsidR="00142031" w:rsidRPr="00122E0E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22E0E">
        <w:rPr>
          <w:sz w:val="26"/>
          <w:szCs w:val="26"/>
        </w:rPr>
        <w:t xml:space="preserve"> </w:t>
      </w:r>
      <w:r w:rsidR="00122E0E" w:rsidRPr="00122E0E">
        <w:rPr>
          <w:b/>
          <w:bCs/>
          <w:sz w:val="26"/>
          <w:szCs w:val="26"/>
        </w:rPr>
        <w:t>07500070500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ACE2A06" w:rsidR="009E0364" w:rsidRPr="00FB3C24" w:rsidRDefault="00122E0E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>MSc. In Accounting in 2003</w:t>
      </w:r>
      <w:r w:rsidR="004740F2">
        <w:rPr>
          <w:b/>
          <w:bCs/>
          <w:sz w:val="26"/>
          <w:szCs w:val="26"/>
        </w:rPr>
        <w:t>.</w:t>
      </w:r>
    </w:p>
    <w:p w14:paraId="4E9B1F5E" w14:textId="222EE22D" w:rsidR="00122E0E" w:rsidRPr="00FB3C24" w:rsidRDefault="00926352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>From Assistant Lecturer To Lecturer in 2013</w:t>
      </w:r>
      <w:r w:rsidR="004740F2">
        <w:rPr>
          <w:b/>
          <w:bCs/>
          <w:sz w:val="26"/>
          <w:szCs w:val="26"/>
        </w:rPr>
        <w:t>.</w:t>
      </w:r>
    </w:p>
    <w:p w14:paraId="2333332E" w14:textId="238FE28A" w:rsidR="00926352" w:rsidRPr="00FB3C24" w:rsidRDefault="00D70783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 Lecturer t</w:t>
      </w:r>
      <w:r w:rsidR="00926352" w:rsidRPr="00FB3C24">
        <w:rPr>
          <w:b/>
          <w:bCs/>
          <w:sz w:val="26"/>
          <w:szCs w:val="26"/>
        </w:rPr>
        <w:t>o Assistant Professor in 2017</w:t>
      </w:r>
      <w:r w:rsidR="004740F2">
        <w:rPr>
          <w:b/>
          <w:bCs/>
          <w:sz w:val="26"/>
          <w:szCs w:val="26"/>
        </w:rPr>
        <w:t>.</w:t>
      </w:r>
    </w:p>
    <w:p w14:paraId="31A178FE" w14:textId="24C3E8FE" w:rsidR="00122E0E" w:rsidRDefault="00E43C35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>PhD</w:t>
      </w:r>
      <w:r w:rsidR="00122E0E" w:rsidRPr="00FB3C24">
        <w:rPr>
          <w:b/>
          <w:bCs/>
          <w:sz w:val="26"/>
          <w:szCs w:val="26"/>
        </w:rPr>
        <w:t>. In Accounting in 2020</w:t>
      </w:r>
      <w:r w:rsidR="004740F2">
        <w:rPr>
          <w:b/>
          <w:bCs/>
          <w:sz w:val="26"/>
          <w:szCs w:val="26"/>
        </w:rPr>
        <w:t>.</w:t>
      </w:r>
    </w:p>
    <w:p w14:paraId="271A0786" w14:textId="32F7CDBE" w:rsidR="004740F2" w:rsidRPr="00FB3C24" w:rsidRDefault="004740F2" w:rsidP="004740F2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 xml:space="preserve">From Assistant Professor </w:t>
      </w:r>
      <w:r w:rsidR="00D70783">
        <w:rPr>
          <w:b/>
          <w:bCs/>
          <w:sz w:val="26"/>
          <w:szCs w:val="26"/>
        </w:rPr>
        <w:t>t</w:t>
      </w:r>
      <w:r w:rsidRPr="00FB3C24">
        <w:rPr>
          <w:b/>
          <w:bCs/>
          <w:sz w:val="26"/>
          <w:szCs w:val="26"/>
        </w:rPr>
        <w:t xml:space="preserve">o Professor in </w:t>
      </w:r>
      <w:r>
        <w:rPr>
          <w:b/>
          <w:bCs/>
          <w:sz w:val="26"/>
          <w:szCs w:val="26"/>
        </w:rPr>
        <w:t>2023.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3191765" w:rsidR="009E0364" w:rsidRPr="00FB3C24" w:rsidRDefault="00926352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B3C24">
        <w:rPr>
          <w:b/>
          <w:bCs/>
          <w:sz w:val="26"/>
          <w:szCs w:val="26"/>
        </w:rPr>
        <w:t xml:space="preserve">Working as a teacher in Accounting department / Administrative &amp; Economic Collage/ </w:t>
      </w:r>
      <w:proofErr w:type="spellStart"/>
      <w:r w:rsidRPr="00FB3C24">
        <w:rPr>
          <w:b/>
          <w:bCs/>
          <w:sz w:val="26"/>
          <w:szCs w:val="26"/>
        </w:rPr>
        <w:t>Salahaddin</w:t>
      </w:r>
      <w:proofErr w:type="spellEnd"/>
      <w:r w:rsidRPr="00FB3C24">
        <w:rPr>
          <w:b/>
          <w:bCs/>
          <w:sz w:val="26"/>
          <w:szCs w:val="26"/>
        </w:rPr>
        <w:t xml:space="preserve"> University-Erbil from 2003 till Now (2023)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6E1262" w14:textId="77777777" w:rsidR="00E43C35" w:rsidRDefault="00E43C35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t>I have been teaching undergraduate students 2003 from different universities and institutes.</w:t>
      </w:r>
    </w:p>
    <w:p w14:paraId="3D3379B4" w14:textId="563190E6" w:rsidR="00FA6961" w:rsidRPr="00E43C35" w:rsidRDefault="00FA6961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 taught postgraduate students in 2023 to 2024 (PhD) in cost and managerial accounting </w:t>
      </w:r>
      <w:bookmarkStart w:id="0" w:name="_GoBack"/>
      <w:bookmarkEnd w:id="0"/>
    </w:p>
    <w:p w14:paraId="4CC4202E" w14:textId="08022748" w:rsidR="00E43C35" w:rsidRPr="00E43C35" w:rsidRDefault="00E43C35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t>I supervised master's students.</w:t>
      </w:r>
    </w:p>
    <w:p w14:paraId="0AE69483" w14:textId="68DF5EB6" w:rsidR="00C36DAD" w:rsidRPr="00E43C35" w:rsidRDefault="00E43C35" w:rsidP="00E43C35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E43C35">
        <w:rPr>
          <w:b/>
          <w:bCs/>
          <w:sz w:val="26"/>
          <w:szCs w:val="26"/>
        </w:rPr>
        <w:lastRenderedPageBreak/>
        <w:t xml:space="preserve">I participated in discussion committees as a member or head of the committee whether inside the Kurdistan region or outside of Kurdistan </w:t>
      </w:r>
      <w:r w:rsidR="00C36DAD" w:rsidRPr="00E43C35">
        <w:rPr>
          <w:b/>
          <w:bCs/>
          <w:sz w:val="26"/>
          <w:szCs w:val="26"/>
        </w:rPr>
        <w:t>IT qualifications</w:t>
      </w:r>
    </w:p>
    <w:p w14:paraId="4ADC189E" w14:textId="7447E345" w:rsidR="00C36DAD" w:rsidRPr="00C36DAD" w:rsidRDefault="00E43C3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43C35">
        <w:rPr>
          <w:b/>
          <w:bCs/>
          <w:sz w:val="26"/>
          <w:szCs w:val="26"/>
        </w:rPr>
        <w:t>I got brand 5 from ILETS.</w:t>
      </w: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F77A7DA" w14:textId="05574DAC" w:rsidR="00AF4EA3" w:rsidRPr="00AF4EA3" w:rsidRDefault="00AF4EA3" w:rsidP="00AF4EA3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AF4EA3">
        <w:rPr>
          <w:b/>
          <w:bCs/>
          <w:sz w:val="26"/>
          <w:szCs w:val="26"/>
        </w:rPr>
        <w:t>A bout undergraduate:</w:t>
      </w:r>
    </w:p>
    <w:tbl>
      <w:tblPr>
        <w:tblStyle w:val="TableGrid"/>
        <w:bidiVisual/>
        <w:tblW w:w="10225" w:type="dxa"/>
        <w:jc w:val="center"/>
        <w:tblInd w:w="-792" w:type="dxa"/>
        <w:tblLook w:val="04A0" w:firstRow="1" w:lastRow="0" w:firstColumn="1" w:lastColumn="0" w:noHBand="0" w:noVBand="1"/>
      </w:tblPr>
      <w:tblGrid>
        <w:gridCol w:w="3135"/>
        <w:gridCol w:w="35"/>
        <w:gridCol w:w="1266"/>
        <w:gridCol w:w="10"/>
        <w:gridCol w:w="2003"/>
        <w:gridCol w:w="1817"/>
        <w:gridCol w:w="1959"/>
      </w:tblGrid>
      <w:tr w:rsidR="00AF4EA3" w:rsidRPr="0097289B" w14:paraId="425BD836" w14:textId="77777777" w:rsidTr="00147021">
        <w:trPr>
          <w:trHeight w:val="503"/>
          <w:jc w:val="center"/>
        </w:trPr>
        <w:tc>
          <w:tcPr>
            <w:tcW w:w="3170" w:type="dxa"/>
            <w:gridSpan w:val="2"/>
            <w:shd w:val="clear" w:color="auto" w:fill="A6A6A6" w:themeFill="background1" w:themeFillShade="A6"/>
            <w:vAlign w:val="center"/>
          </w:tcPr>
          <w:p w14:paraId="1428734A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14:paraId="6EDBAB0E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14:paraId="7C3E3BBB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1817" w:type="dxa"/>
            <w:shd w:val="clear" w:color="auto" w:fill="A6A6A6" w:themeFill="background1" w:themeFillShade="A6"/>
            <w:vAlign w:val="center"/>
          </w:tcPr>
          <w:p w14:paraId="7A867AAD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959" w:type="dxa"/>
            <w:shd w:val="clear" w:color="auto" w:fill="A6A6A6" w:themeFill="background1" w:themeFillShade="A6"/>
          </w:tcPr>
          <w:p w14:paraId="141D47E5" w14:textId="77777777" w:rsidR="00AF4EA3" w:rsidRPr="0097289B" w:rsidRDefault="00AF4EA3" w:rsidP="00AF4EA3">
            <w:pPr>
              <w:pStyle w:val="Heading2"/>
              <w:tabs>
                <w:tab w:val="center" w:pos="405"/>
              </w:tabs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7289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  للفترة  من ---إلى</w:t>
            </w:r>
          </w:p>
        </w:tc>
      </w:tr>
      <w:tr w:rsidR="00AF4EA3" w:rsidRPr="0097289B" w14:paraId="52ED7A23" w14:textId="77777777" w:rsidTr="00AF4EA3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882560C" w14:textId="77777777" w:rsidR="00AF4EA3" w:rsidRPr="0097289B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المحاسبة التكاليف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C00A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 / الإدارة</w:t>
            </w:r>
          </w:p>
          <w:p w14:paraId="0222990F" w14:textId="30CA9A30" w:rsidR="00AF4EA3" w:rsidRPr="00307536" w:rsidRDefault="00AF4EA3" w:rsidP="00AF4EA3">
            <w:pPr>
              <w:bidi/>
              <w:rPr>
                <w:rtl/>
              </w:rPr>
            </w:pP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04568E5F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07A095A7" w14:textId="77777777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</w:rPr>
            </w:pP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العلوم الادارية والمالية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</w:tcPr>
          <w:p w14:paraId="021B351F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71FDCDB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3699E88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صلاح الدين</w:t>
            </w:r>
          </w:p>
          <w:p w14:paraId="497B18FB" w14:textId="77777777" w:rsidR="00AF4EA3" w:rsidRDefault="00AF4EA3" w:rsidP="00AF4EA3">
            <w:pPr>
              <w:bidi/>
              <w:jc w:val="center"/>
              <w:rPr>
                <w:rtl/>
              </w:rPr>
            </w:pPr>
          </w:p>
          <w:p w14:paraId="1C5849FD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  <w:p w14:paraId="616B71E8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127A2B21" w14:textId="77777777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ن</w:t>
            </w: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ولج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</w:tcPr>
          <w:p w14:paraId="73D55193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2009</w:t>
            </w:r>
          </w:p>
          <w:p w14:paraId="59A76445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2008</w:t>
            </w:r>
          </w:p>
          <w:p w14:paraId="68D1A14E" w14:textId="3253D1B4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2019</w:t>
            </w:r>
          </w:p>
          <w:p w14:paraId="54A0A8C7" w14:textId="7721A95E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2020</w:t>
            </w:r>
          </w:p>
          <w:p w14:paraId="05BE8C41" w14:textId="77777777" w:rsidR="00AF4EA3" w:rsidRDefault="00AF4EA3" w:rsidP="00AF4EA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</w:p>
          <w:p w14:paraId="7A173D47" w14:textId="77777777" w:rsidR="00AF4EA3" w:rsidRDefault="00AF4EA3" w:rsidP="00AF4EA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 w:rsidRPr="00A7126A"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2017</w:t>
            </w:r>
          </w:p>
          <w:p w14:paraId="6896B850" w14:textId="77777777" w:rsidR="00AF4EA3" w:rsidRDefault="00AF4EA3" w:rsidP="00AF4EA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2019</w:t>
            </w:r>
          </w:p>
          <w:p w14:paraId="7929C813" w14:textId="77777777" w:rsidR="00AF4EA3" w:rsidRPr="00A7126A" w:rsidRDefault="00AF4EA3" w:rsidP="00AF4EA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2020</w:t>
            </w:r>
          </w:p>
        </w:tc>
      </w:tr>
      <w:tr w:rsidR="00AF4EA3" w:rsidRPr="0097289B" w14:paraId="292C293A" w14:textId="77777777" w:rsidTr="00147021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B7366A7" w14:textId="77777777" w:rsidR="00AF4EA3" w:rsidRPr="0097289B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المحاسبة المتوسطة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21F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الإدارة </w:t>
            </w: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/ المحاسبة/</w:t>
            </w:r>
          </w:p>
          <w:p w14:paraId="58C28A33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F37BF5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المالية والمصرفية</w:t>
            </w:r>
          </w:p>
          <w:p w14:paraId="3A3CB592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460E8339" w14:textId="77777777" w:rsidR="00AF4EA3" w:rsidRPr="00307536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المحاسبة/ المالية والمصرفية </w:t>
            </w:r>
          </w:p>
        </w:tc>
        <w:tc>
          <w:tcPr>
            <w:tcW w:w="2003" w:type="dxa"/>
            <w:vAlign w:val="center"/>
          </w:tcPr>
          <w:p w14:paraId="35CCEBBD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117C76D2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6EE722DD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34316A8D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66D17D36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0DBD603B" w14:textId="77777777" w:rsidR="00AF4EA3" w:rsidRPr="005A60E2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العلوم الادارية والمالية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35216238" w14:textId="77777777" w:rsidR="00AF4EA3" w:rsidRPr="00307536" w:rsidRDefault="00AF4EA3" w:rsidP="00AF4EA3">
            <w:pPr>
              <w:pStyle w:val="Heading2"/>
              <w:bidi/>
              <w:spacing w:before="0" w:line="240" w:lineRule="auto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  صلاح الدين</w:t>
            </w:r>
          </w:p>
          <w:p w14:paraId="5CC1CD51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11EE8780" w14:textId="77777777" w:rsidR="00AF4EA3" w:rsidRDefault="00AF4EA3" w:rsidP="00AF4EA3">
            <w:pPr>
              <w:bidi/>
              <w:rPr>
                <w:rtl/>
              </w:rPr>
            </w:pPr>
          </w:p>
          <w:p w14:paraId="06D102A2" w14:textId="77777777" w:rsidR="00AF4EA3" w:rsidRPr="00307536" w:rsidRDefault="00AF4EA3" w:rsidP="00AF4EA3">
            <w:pPr>
              <w:bidi/>
              <w:rPr>
                <w:rtl/>
              </w:rPr>
            </w:pPr>
          </w:p>
          <w:p w14:paraId="1B5EBF1F" w14:textId="77777777" w:rsidR="00AF4EA3" w:rsidRPr="005A60E2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ن</w:t>
            </w: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ولج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1CD6B991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2008</w:t>
            </w:r>
          </w:p>
          <w:p w14:paraId="7499B714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2012</w:t>
            </w:r>
          </w:p>
          <w:p w14:paraId="6789E4B3" w14:textId="232FB5A2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2016</w:t>
            </w:r>
          </w:p>
          <w:p w14:paraId="48117E70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  <w:p w14:paraId="622C7869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  <w:p w14:paraId="5F14394C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  <w:p w14:paraId="25E6FAB1" w14:textId="77777777" w:rsidR="00AF4EA3" w:rsidRPr="0097289B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A7126A"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2017</w:t>
            </w:r>
          </w:p>
        </w:tc>
      </w:tr>
      <w:tr w:rsidR="00AF4EA3" w:rsidRPr="0097289B" w14:paraId="6CEA8CEB" w14:textId="77777777" w:rsidTr="00147021">
        <w:trPr>
          <w:trHeight w:val="48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E365024" w14:textId="77777777" w:rsidR="00AF4EA3" w:rsidRPr="0097289B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مبادئ المحاسبة بلغتى العربية والانكليزية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4627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المحاسبة </w:t>
            </w:r>
          </w:p>
          <w:p w14:paraId="26690E2D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27519D2E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0107B678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1FEFDB62" w14:textId="77777777" w:rsidR="00AF4EA3" w:rsidRPr="00307536" w:rsidRDefault="00AF4EA3" w:rsidP="00AF4EA3">
            <w:pPr>
              <w:bidi/>
              <w:rPr>
                <w:rtl/>
                <w:lang w:bidi="ar-IQ"/>
              </w:rPr>
            </w:pPr>
          </w:p>
          <w:p w14:paraId="4FC00483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307536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  <w:p w14:paraId="1479E6A1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23915FCB" w14:textId="77777777" w:rsidR="00AF4EA3" w:rsidRDefault="00AF4EA3" w:rsidP="00AF4EA3">
            <w:pPr>
              <w:bidi/>
              <w:rPr>
                <w:rtl/>
                <w:lang w:bidi="ar-IQ"/>
              </w:rPr>
            </w:pPr>
          </w:p>
          <w:p w14:paraId="1B14B628" w14:textId="77777777" w:rsidR="00AF4EA3" w:rsidRPr="003609C7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3609C7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03" w:type="dxa"/>
            <w:vAlign w:val="center"/>
          </w:tcPr>
          <w:p w14:paraId="049CD3FB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  <w:p w14:paraId="0F7D078C" w14:textId="77777777" w:rsidR="00AF4EA3" w:rsidRDefault="00AF4EA3" w:rsidP="00AF4EA3">
            <w:pPr>
              <w:bidi/>
              <w:rPr>
                <w:rtl/>
              </w:rPr>
            </w:pPr>
          </w:p>
          <w:p w14:paraId="4A9744A6" w14:textId="77777777" w:rsidR="00AF4EA3" w:rsidRDefault="00AF4EA3" w:rsidP="00AF4EA3">
            <w:pPr>
              <w:bidi/>
              <w:rPr>
                <w:rtl/>
              </w:rPr>
            </w:pPr>
          </w:p>
          <w:p w14:paraId="28317663" w14:textId="77777777" w:rsidR="00AF4EA3" w:rsidRDefault="00AF4EA3" w:rsidP="00AF4EA3">
            <w:pPr>
              <w:bidi/>
              <w:rPr>
                <w:rtl/>
              </w:rPr>
            </w:pPr>
          </w:p>
          <w:p w14:paraId="0C9784E4" w14:textId="77777777" w:rsidR="00AF4EA3" w:rsidRPr="00307536" w:rsidRDefault="00AF4EA3" w:rsidP="00AF4EA3">
            <w:pPr>
              <w:bidi/>
              <w:rPr>
                <w:rtl/>
              </w:rPr>
            </w:pPr>
          </w:p>
          <w:p w14:paraId="2BD1D8E6" w14:textId="77777777" w:rsidR="00AF4EA3" w:rsidRDefault="00AF4EA3" w:rsidP="00AF4EA3">
            <w:pPr>
              <w:bidi/>
              <w:jc w:val="center"/>
              <w:rPr>
                <w:b/>
                <w:bCs/>
                <w:rtl/>
              </w:rPr>
            </w:pPr>
            <w:r w:rsidRPr="0030753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العلوم الادارية والمالية</w:t>
            </w:r>
          </w:p>
          <w:p w14:paraId="2C7AC0A1" w14:textId="77777777" w:rsidR="00AF4EA3" w:rsidRDefault="00AF4EA3" w:rsidP="00AF4EA3">
            <w:pPr>
              <w:bidi/>
              <w:jc w:val="center"/>
              <w:rPr>
                <w:b/>
                <w:bCs/>
                <w:rtl/>
              </w:rPr>
            </w:pPr>
          </w:p>
          <w:p w14:paraId="7C3CA87E" w14:textId="77777777" w:rsidR="00AF4EA3" w:rsidRDefault="00AF4EA3" w:rsidP="00AF4EA3">
            <w:pPr>
              <w:bidi/>
              <w:jc w:val="center"/>
              <w:rPr>
                <w:b/>
                <w:bCs/>
                <w:rtl/>
              </w:rPr>
            </w:pPr>
          </w:p>
          <w:p w14:paraId="3E18D8F8" w14:textId="77777777" w:rsidR="00AF4EA3" w:rsidRPr="003609C7" w:rsidRDefault="00AF4EA3" w:rsidP="00AF4EA3">
            <w:pPr>
              <w:bidi/>
              <w:jc w:val="center"/>
              <w:rPr>
                <w:b/>
                <w:bCs/>
                <w:rtl/>
              </w:rPr>
            </w:pPr>
            <w:r w:rsidRPr="003609C7">
              <w:rPr>
                <w:rFonts w:hint="cs"/>
                <w:b/>
                <w:bCs/>
                <w:sz w:val="32"/>
                <w:szCs w:val="32"/>
                <w:rtl/>
              </w:rPr>
              <w:t>معهد ئاينده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5A486AD9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صلاح الدين/ معهد التقني أربيل/ معهد التقنى سوران/</w:t>
            </w:r>
          </w:p>
          <w:p w14:paraId="2737EEFC" w14:textId="77777777" w:rsidR="00AF4EA3" w:rsidRDefault="00AF4EA3" w:rsidP="00AF4EA3">
            <w:pPr>
              <w:bidi/>
              <w:rPr>
                <w:rtl/>
              </w:rPr>
            </w:pPr>
          </w:p>
          <w:p w14:paraId="27D7FF75" w14:textId="77777777" w:rsidR="00AF4EA3" w:rsidRPr="003609C7" w:rsidRDefault="00AF4EA3" w:rsidP="00AF4EA3">
            <w:pPr>
              <w:bidi/>
              <w:jc w:val="center"/>
              <w:rPr>
                <w:b/>
                <w:bCs/>
                <w:rtl/>
              </w:rPr>
            </w:pPr>
            <w:r w:rsidRPr="003609C7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نولج</w:t>
            </w:r>
          </w:p>
          <w:p w14:paraId="246FF10A" w14:textId="77777777" w:rsidR="00AF4EA3" w:rsidRDefault="00AF4EA3" w:rsidP="00AF4EA3">
            <w:pPr>
              <w:bidi/>
              <w:rPr>
                <w:rtl/>
              </w:rPr>
            </w:pPr>
          </w:p>
          <w:p w14:paraId="757ED5AF" w14:textId="77777777" w:rsidR="00AF4EA3" w:rsidRPr="003609C7" w:rsidRDefault="00AF4EA3" w:rsidP="00AF4EA3">
            <w:pPr>
              <w:bidi/>
              <w:rPr>
                <w:rtl/>
              </w:rPr>
            </w:pPr>
          </w:p>
          <w:p w14:paraId="1DD89E9A" w14:textId="77777777" w:rsidR="00AF4EA3" w:rsidRPr="00307536" w:rsidRDefault="00AF4EA3" w:rsidP="00AF4EA3">
            <w:pPr>
              <w:bidi/>
              <w:jc w:val="center"/>
              <w:rPr>
                <w:rtl/>
                <w:lang w:bidi="ar-IQ"/>
              </w:rPr>
            </w:pPr>
            <w:r w:rsidRPr="003609C7">
              <w:rPr>
                <w:rFonts w:hint="cs"/>
                <w:b/>
                <w:bCs/>
                <w:sz w:val="32"/>
                <w:szCs w:val="32"/>
                <w:rtl/>
              </w:rPr>
              <w:t>معهد ئاينده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</w:tcPr>
          <w:p w14:paraId="1A492F86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2006</w:t>
            </w:r>
          </w:p>
          <w:p w14:paraId="04B0D64A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2007</w:t>
            </w:r>
          </w:p>
          <w:p w14:paraId="0F19879D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2011</w:t>
            </w:r>
          </w:p>
          <w:p w14:paraId="61744463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2013</w:t>
            </w:r>
          </w:p>
          <w:p w14:paraId="44706634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  <w:p w14:paraId="270DA35F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  <w:p w14:paraId="51413C1E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2017</w:t>
            </w:r>
          </w:p>
          <w:p w14:paraId="4EAC251D" w14:textId="77777777" w:rsidR="00AF4EA3" w:rsidRDefault="00AF4EA3" w:rsidP="00AF4EA3">
            <w:pPr>
              <w:jc w:val="right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</w:p>
          <w:p w14:paraId="3D1897B0" w14:textId="77777777" w:rsidR="00AF4EA3" w:rsidRDefault="00AF4EA3" w:rsidP="00AF4EA3">
            <w:pPr>
              <w:jc w:val="right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</w:p>
          <w:p w14:paraId="737FFFB8" w14:textId="77777777" w:rsidR="00AF4EA3" w:rsidRDefault="00AF4EA3" w:rsidP="00AF4EA3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2017</w:t>
            </w:r>
          </w:p>
          <w:p w14:paraId="10822C4F" w14:textId="77777777" w:rsidR="00AF4EA3" w:rsidRPr="003609C7" w:rsidRDefault="00AF4EA3" w:rsidP="00AF4EA3">
            <w:pPr>
              <w:jc w:val="right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</w:p>
        </w:tc>
      </w:tr>
      <w:tr w:rsidR="00AF4EA3" w:rsidRPr="0097289B" w14:paraId="5E38B48B" w14:textId="77777777" w:rsidTr="00147021">
        <w:trPr>
          <w:trHeight w:val="485"/>
          <w:jc w:val="center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D2CF260" w14:textId="77777777" w:rsidR="00AF4EA3" w:rsidRPr="003F17FB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الكلفة المتقدمة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B595E" w14:textId="77777777" w:rsidR="00AF4EA3" w:rsidRPr="006E16E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B8034CE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</w:tc>
        <w:tc>
          <w:tcPr>
            <w:tcW w:w="181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68B84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F21B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صلاح الدين</w:t>
            </w:r>
          </w:p>
        </w:tc>
        <w:tc>
          <w:tcPr>
            <w:tcW w:w="19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32822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  <w:t>2006</w:t>
            </w:r>
          </w:p>
          <w:p w14:paraId="7857DA6B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  <w:t>2020</w:t>
            </w:r>
          </w:p>
          <w:p w14:paraId="3C50D825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  <w:t>2021</w:t>
            </w:r>
          </w:p>
          <w:p w14:paraId="69EA0BA2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  <w:t>2022</w:t>
            </w:r>
          </w:p>
          <w:p w14:paraId="35B790BF" w14:textId="75DE0DE8" w:rsidR="00AF4EA3" w:rsidRPr="00DF1611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GB" w:bidi="ar-SY"/>
              </w:rPr>
              <w:t>2023</w:t>
            </w:r>
          </w:p>
        </w:tc>
      </w:tr>
      <w:tr w:rsidR="00AF4EA3" w:rsidRPr="0097289B" w14:paraId="2D19557C" w14:textId="77777777" w:rsidTr="00147021">
        <w:trPr>
          <w:trHeight w:val="484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0732B70" w14:textId="77777777" w:rsidR="00AF4EA3" w:rsidRPr="003F17FB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بحوث العمليات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63398" w14:textId="77777777" w:rsidR="00AF4EA3" w:rsidRPr="006E16E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13" w:type="dxa"/>
            <w:gridSpan w:val="2"/>
            <w:vAlign w:val="center"/>
          </w:tcPr>
          <w:p w14:paraId="0F0601C6" w14:textId="77777777" w:rsidR="00AF4EA3" w:rsidRPr="0097289B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747EBB34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F21B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صلاح الدين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3CE0B586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2005</w:t>
            </w:r>
          </w:p>
          <w:p w14:paraId="13A0A46F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lastRenderedPageBreak/>
              <w:t>2006</w:t>
            </w:r>
          </w:p>
          <w:p w14:paraId="14D0E622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2008</w:t>
            </w:r>
          </w:p>
        </w:tc>
      </w:tr>
      <w:tr w:rsidR="00AF4EA3" w:rsidRPr="0097289B" w14:paraId="33675E97" w14:textId="77777777" w:rsidTr="00147021">
        <w:trPr>
          <w:trHeight w:val="484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FF13330" w14:textId="77777777" w:rsidR="00AF4EA3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المحاسبة الإدارية بلغتي العربية والانكليزية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59AA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المحاسبة/</w:t>
            </w:r>
          </w:p>
          <w:p w14:paraId="404B70FB" w14:textId="77777777" w:rsidR="00AF4EA3" w:rsidRPr="00F37BF5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tl/>
                <w:lang w:bidi="ar-IQ"/>
              </w:rPr>
            </w:pPr>
            <w:r w:rsidRPr="00F37BF5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الإدارة</w:t>
            </w:r>
          </w:p>
        </w:tc>
        <w:tc>
          <w:tcPr>
            <w:tcW w:w="2013" w:type="dxa"/>
            <w:gridSpan w:val="2"/>
            <w:vAlign w:val="center"/>
          </w:tcPr>
          <w:p w14:paraId="293A2560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الإدارة والإقتصاد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36B8A5B3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F21B2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صلاح الدين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64B984FD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2004</w:t>
            </w:r>
          </w:p>
          <w:p w14:paraId="3C2FCA42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2006</w:t>
            </w:r>
          </w:p>
          <w:p w14:paraId="106F127B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2010</w:t>
            </w:r>
          </w:p>
          <w:p w14:paraId="1024BD9F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2014</w:t>
            </w:r>
          </w:p>
          <w:p w14:paraId="6C8B346E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F4EA3" w:rsidRPr="0097289B" w14:paraId="0723B719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FA49FCC" w14:textId="77777777" w:rsidR="00AF4EA3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نظام المحاسبي الموحد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31FE4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13" w:type="dxa"/>
            <w:gridSpan w:val="2"/>
            <w:vAlign w:val="center"/>
          </w:tcPr>
          <w:p w14:paraId="6C3B2BF1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معهد التقنى كوية / آكرى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3511ACA5" w14:textId="77777777" w:rsidR="00AF4EA3" w:rsidRPr="003F21B2" w:rsidRDefault="00AF4EA3" w:rsidP="00AF4EA3">
            <w:pPr>
              <w:tabs>
                <w:tab w:val="left" w:pos="1511"/>
              </w:tabs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5A60E2"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بوليتكنيك </w:t>
            </w: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>دهوك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02190598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2009</w:t>
            </w:r>
          </w:p>
          <w:p w14:paraId="14F84EEB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2010</w:t>
            </w:r>
          </w:p>
          <w:p w14:paraId="14F857C8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2011</w:t>
            </w:r>
          </w:p>
          <w:p w14:paraId="164C45F0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</w:tr>
      <w:tr w:rsidR="00AF4EA3" w:rsidRPr="0097289B" w14:paraId="3EFA1D82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033E253" w14:textId="77777777" w:rsidR="00AF4EA3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محاسبة النفط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E2C05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المحاسبة </w:t>
            </w:r>
          </w:p>
        </w:tc>
        <w:tc>
          <w:tcPr>
            <w:tcW w:w="2013" w:type="dxa"/>
            <w:gridSpan w:val="2"/>
            <w:vAlign w:val="center"/>
          </w:tcPr>
          <w:p w14:paraId="406B998E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كلية الإدارة والإقتصاد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7AEEA75C" w14:textId="77777777" w:rsidR="00AF4EA3" w:rsidRPr="005A60E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Theme="maj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جامعة لبناني وفرنسي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30977F44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2018</w:t>
            </w:r>
          </w:p>
        </w:tc>
      </w:tr>
      <w:tr w:rsidR="00AF4EA3" w:rsidRPr="0097289B" w14:paraId="7DAD9D8B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C4ADAD9" w14:textId="77777777" w:rsidR="00AF4EA3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كلفة متقدمة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A6968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13" w:type="dxa"/>
            <w:gridSpan w:val="2"/>
            <w:vAlign w:val="center"/>
          </w:tcPr>
          <w:p w14:paraId="506AABEC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كلية الإدارة والإقتصاد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2752615D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جامعة بيان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1E6E0474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2018</w:t>
            </w:r>
          </w:p>
        </w:tc>
      </w:tr>
      <w:tr w:rsidR="00AF4EA3" w:rsidRPr="0097289B" w14:paraId="34A832B1" w14:textId="77777777" w:rsidTr="00147021">
        <w:trPr>
          <w:trHeight w:val="140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7095319" w14:textId="77777777" w:rsidR="00AF4EA3" w:rsidRDefault="00AF4EA3" w:rsidP="00AF4EA3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IQ"/>
              </w:rPr>
              <w:t>Cost Accounting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5B295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bidi="ar-IQ"/>
              </w:rPr>
              <w:t>المحاسبة</w:t>
            </w:r>
          </w:p>
        </w:tc>
        <w:tc>
          <w:tcPr>
            <w:tcW w:w="2013" w:type="dxa"/>
            <w:gridSpan w:val="2"/>
            <w:vAlign w:val="center"/>
          </w:tcPr>
          <w:p w14:paraId="6A60E96D" w14:textId="77777777" w:rsidR="00AF4EA3" w:rsidRDefault="00AF4EA3" w:rsidP="00AF4EA3">
            <w:pPr>
              <w:pStyle w:val="Heading2"/>
              <w:bidi/>
              <w:spacing w:before="0" w:line="240" w:lineRule="auto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معهد التقنى بردةرةش </w:t>
            </w:r>
          </w:p>
        </w:tc>
        <w:tc>
          <w:tcPr>
            <w:tcW w:w="1817" w:type="dxa"/>
            <w:tcBorders>
              <w:right w:val="single" w:sz="4" w:space="0" w:color="000000" w:themeColor="text1"/>
            </w:tcBorders>
            <w:vAlign w:val="center"/>
          </w:tcPr>
          <w:p w14:paraId="22E7D8A2" w14:textId="77777777" w:rsidR="00AF4EA3" w:rsidRPr="003F21B2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5A60E2"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بوليتكنيك </w:t>
            </w: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>دهوك</w:t>
            </w:r>
          </w:p>
        </w:tc>
        <w:tc>
          <w:tcPr>
            <w:tcW w:w="1959" w:type="dxa"/>
            <w:tcBorders>
              <w:right w:val="single" w:sz="4" w:space="0" w:color="000000" w:themeColor="text1"/>
            </w:tcBorders>
            <w:vAlign w:val="center"/>
          </w:tcPr>
          <w:p w14:paraId="336E971E" w14:textId="77777777" w:rsidR="00AF4EA3" w:rsidRDefault="00AF4EA3" w:rsidP="00AF4EA3">
            <w:pPr>
              <w:tabs>
                <w:tab w:val="left" w:pos="1511"/>
              </w:tabs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IQ"/>
              </w:rPr>
              <w:t>2022</w:t>
            </w:r>
          </w:p>
        </w:tc>
      </w:tr>
    </w:tbl>
    <w:p w14:paraId="6563B976" w14:textId="77777777" w:rsidR="00AF4EA3" w:rsidRDefault="00AF4EA3" w:rsidP="00D47951">
      <w:pPr>
        <w:rPr>
          <w:sz w:val="26"/>
          <w:szCs w:val="26"/>
        </w:rPr>
      </w:pPr>
    </w:p>
    <w:p w14:paraId="3A47F680" w14:textId="258192AC" w:rsidR="00AF4EA3" w:rsidRDefault="00AF4EA3" w:rsidP="00DF058C">
      <w:pPr>
        <w:rPr>
          <w:sz w:val="26"/>
          <w:szCs w:val="26"/>
        </w:rPr>
      </w:pPr>
      <w:r w:rsidRPr="00AF4EA3">
        <w:rPr>
          <w:b/>
          <w:bCs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AF4EA3">
        <w:rPr>
          <w:b/>
          <w:bCs/>
          <w:sz w:val="26"/>
          <w:szCs w:val="26"/>
        </w:rPr>
        <w:t>About postgraduate:</w:t>
      </w:r>
      <w:r>
        <w:rPr>
          <w:sz w:val="26"/>
          <w:szCs w:val="26"/>
        </w:rPr>
        <w:t xml:space="preserve">  </w:t>
      </w:r>
      <w:r w:rsidR="00DF058C" w:rsidRPr="00DF058C">
        <w:rPr>
          <w:b/>
          <w:bCs/>
          <w:sz w:val="26"/>
          <w:szCs w:val="26"/>
        </w:rPr>
        <w:t>I taught postgraduate students lessons with the subject "Cost Accounting" at the accounting department in 2020</w:t>
      </w:r>
      <w:r w:rsidR="00DF058C">
        <w:rPr>
          <w:sz w:val="26"/>
          <w:szCs w:val="26"/>
        </w:rPr>
        <w:t>.</w:t>
      </w:r>
    </w:p>
    <w:p w14:paraId="40CAAC7C" w14:textId="77777777" w:rsidR="00AF4EA3" w:rsidRPr="00DF058C" w:rsidRDefault="00AF4EA3" w:rsidP="00D47951">
      <w:pPr>
        <w:rPr>
          <w:b/>
          <w:bCs/>
          <w:sz w:val="10"/>
          <w:szCs w:val="1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bidiVisual/>
        <w:tblW w:w="10632" w:type="dxa"/>
        <w:jc w:val="right"/>
        <w:tblInd w:w="-1083" w:type="dxa"/>
        <w:tblLook w:val="04A0" w:firstRow="1" w:lastRow="0" w:firstColumn="1" w:lastColumn="0" w:noHBand="0" w:noVBand="1"/>
      </w:tblPr>
      <w:tblGrid>
        <w:gridCol w:w="7369"/>
        <w:gridCol w:w="2271"/>
        <w:gridCol w:w="992"/>
      </w:tblGrid>
      <w:tr w:rsidR="00DF058C" w14:paraId="12B000E6" w14:textId="77777777" w:rsidTr="00DF058C">
        <w:trPr>
          <w:jc w:val="right"/>
        </w:trPr>
        <w:tc>
          <w:tcPr>
            <w:tcW w:w="7369" w:type="dxa"/>
            <w:shd w:val="clear" w:color="auto" w:fill="A6A6A6" w:themeFill="background1" w:themeFillShade="A6"/>
            <w:vAlign w:val="center"/>
          </w:tcPr>
          <w:p w14:paraId="65A1A0C1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271" w:type="dxa"/>
            <w:shd w:val="clear" w:color="auto" w:fill="A6A6A6" w:themeFill="background1" w:themeFillShade="A6"/>
            <w:vAlign w:val="center"/>
          </w:tcPr>
          <w:p w14:paraId="04A0F40B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DBEFB00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F058C" w14:paraId="0F9C53F8" w14:textId="77777777" w:rsidTr="00DF058C">
        <w:trPr>
          <w:jc w:val="right"/>
        </w:trPr>
        <w:tc>
          <w:tcPr>
            <w:tcW w:w="7369" w:type="dxa"/>
            <w:shd w:val="clear" w:color="auto" w:fill="auto"/>
            <w:vAlign w:val="center"/>
          </w:tcPr>
          <w:p w14:paraId="051F3F7D" w14:textId="77777777" w:rsidR="00DF058C" w:rsidRPr="00C34190" w:rsidRDefault="00DF058C" w:rsidP="00DF058C">
            <w:pPr>
              <w:tabs>
                <w:tab w:val="left" w:pos="5015"/>
              </w:tabs>
              <w:bidi/>
              <w:jc w:val="center"/>
              <w:rPr>
                <w:rFonts w:cs="Ali-A-Samik"/>
                <w:b/>
                <w:bCs/>
                <w:sz w:val="40"/>
                <w:szCs w:val="40"/>
                <w:rtl/>
              </w:rPr>
            </w:pPr>
            <w:r w:rsidRPr="00192D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((القياس والإفصاح المحاسبي عن تكاليف ومنافع الأنشطة الإجتماعية  دراسة تطبيقية في شركة (بضاعة) لإنتاج "</w:t>
            </w:r>
            <w:r w:rsidRPr="00192D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BRC</w:t>
            </w:r>
            <w:r w:rsidRPr="00192D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" / أربيل ))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AD36046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SY"/>
              </w:rPr>
              <w:t>كوفارى زانكو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</w:p>
          <w:p w14:paraId="3A212A4F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سةلاحةديين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0DA1D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DF058C" w14:paraId="312FD906" w14:textId="77777777" w:rsidTr="00DF058C">
        <w:trPr>
          <w:jc w:val="right"/>
        </w:trPr>
        <w:tc>
          <w:tcPr>
            <w:tcW w:w="7369" w:type="dxa"/>
            <w:vAlign w:val="center"/>
          </w:tcPr>
          <w:p w14:paraId="7B4E04DE" w14:textId="77777777" w:rsidR="00DF058C" w:rsidRPr="006F54EF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تحليل التكاليف الملائمة 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لأغراض</w:t>
            </w: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القرارات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الإدارية قصيرة الأجل</w:t>
            </w: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القرارات </w:t>
            </w: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التشغيلية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  <w:p w14:paraId="7B1DA631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تطبيقية على شركة (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عز الدين </w:t>
            </w:r>
            <w:r w:rsidRPr="006F54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لصناعة </w:t>
            </w:r>
            <w:r w:rsidRPr="006F54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منتجات الألمنيوم</w:t>
            </w:r>
          </w:p>
        </w:tc>
        <w:tc>
          <w:tcPr>
            <w:tcW w:w="2271" w:type="dxa"/>
            <w:vAlign w:val="center"/>
          </w:tcPr>
          <w:p w14:paraId="3B7D9538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تكريت</w:t>
            </w:r>
          </w:p>
        </w:tc>
        <w:tc>
          <w:tcPr>
            <w:tcW w:w="992" w:type="dxa"/>
            <w:vAlign w:val="center"/>
          </w:tcPr>
          <w:p w14:paraId="5BD26314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DF058C" w14:paraId="32BC2EA7" w14:textId="77777777" w:rsidTr="00DF058C">
        <w:trPr>
          <w:jc w:val="right"/>
        </w:trPr>
        <w:tc>
          <w:tcPr>
            <w:tcW w:w="7369" w:type="dxa"/>
            <w:vAlign w:val="center"/>
          </w:tcPr>
          <w:p w14:paraId="13A57E18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فجوة التوقعات بين المدقق الخارجى والمجتمع المالى في الكشف عن ممارسات المحاسبة الإبداعية (دراسة استطلاعية لآراء مجموعة من مراقبى الحسابات ومخمني الضريبة في مدينة أربيل)</w:t>
            </w:r>
          </w:p>
        </w:tc>
        <w:tc>
          <w:tcPr>
            <w:tcW w:w="2271" w:type="dxa"/>
            <w:vAlign w:val="center"/>
          </w:tcPr>
          <w:p w14:paraId="4EE31A10" w14:textId="77777777" w:rsidR="00DF058C" w:rsidRPr="00EC7AA6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 w:rsidRPr="00EC7AA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ؤ</w:t>
            </w:r>
            <w:r w:rsidRPr="00EC7AA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ليتةكنيك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ى</w:t>
            </w:r>
            <w:r w:rsidRPr="00EC7AA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 xml:space="preserve"> هةول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ي</w:t>
            </w:r>
            <w:r w:rsidRPr="00EC7AA6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Align w:val="center"/>
          </w:tcPr>
          <w:p w14:paraId="796BAC41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F058C" w14:paraId="1914CCDD" w14:textId="77777777" w:rsidTr="00DF058C">
        <w:trPr>
          <w:jc w:val="right"/>
        </w:trPr>
        <w:tc>
          <w:tcPr>
            <w:tcW w:w="7369" w:type="dxa"/>
            <w:vAlign w:val="center"/>
          </w:tcPr>
          <w:p w14:paraId="78568C04" w14:textId="77777777" w:rsidR="00DF058C" w:rsidRPr="00DF1611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6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استخدام </w:t>
            </w:r>
            <w:r w:rsidRPr="00DF16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مؤشر </w:t>
            </w:r>
            <w:r w:rsidRPr="00DF16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القيمة الاقتصادية المضافة في </w:t>
            </w:r>
            <w:r w:rsidRPr="00DF16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تقويم نتائج م</w:t>
            </w:r>
            <w:r w:rsidRPr="00DF16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مارسات إدارة </w:t>
            </w:r>
            <w:r w:rsidRPr="00DF16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الأرباح</w:t>
            </w:r>
          </w:p>
          <w:p w14:paraId="2B465D01" w14:textId="77777777" w:rsidR="00DF058C" w:rsidRPr="00C34190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F16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DF16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تطبيقية على </w:t>
            </w:r>
            <w:r w:rsidRPr="00DF16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شركة آسيا سيل للاتصالات )</w:t>
            </w:r>
          </w:p>
        </w:tc>
        <w:tc>
          <w:tcPr>
            <w:tcW w:w="2271" w:type="dxa"/>
            <w:vAlign w:val="center"/>
          </w:tcPr>
          <w:p w14:paraId="456ACA67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5F4807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SY"/>
              </w:rPr>
              <w:t>كوفارى زانكو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</w:p>
          <w:p w14:paraId="2CE39F7F" w14:textId="00EA7639" w:rsidR="00DF058C" w:rsidRPr="00EC7AA6" w:rsidRDefault="001A718A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سةلاح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OM"/>
              </w:rPr>
              <w:t>ە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دي</w:t>
            </w:r>
            <w:r w:rsidR="00DF058C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992" w:type="dxa"/>
            <w:vAlign w:val="center"/>
          </w:tcPr>
          <w:p w14:paraId="336A88F4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4807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  <w:lastRenderedPageBreak/>
              <w:t xml:space="preserve"> 2016</w:t>
            </w:r>
          </w:p>
        </w:tc>
      </w:tr>
      <w:tr w:rsidR="00DF058C" w14:paraId="1EC48972" w14:textId="77777777" w:rsidTr="00DF058C">
        <w:trPr>
          <w:jc w:val="right"/>
        </w:trPr>
        <w:tc>
          <w:tcPr>
            <w:tcW w:w="7369" w:type="dxa"/>
            <w:vAlign w:val="center"/>
          </w:tcPr>
          <w:p w14:paraId="4E03F40E" w14:textId="77777777" w:rsidR="00DF058C" w:rsidRPr="00DF1611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lastRenderedPageBreak/>
              <w:t xml:space="preserve">" أثر تطبيق برنامج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التاءات الخمس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 (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Five S’s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) في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تخفيض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 التكاليف </w:t>
            </w:r>
            <w:r w:rsidRPr="00A004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و</w:t>
            </w:r>
            <w:r w:rsidRPr="00A004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تحسين الإنتاجية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في الشركات الصناعية دراسة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استطلاعية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 لأراء عينة من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المخ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ت</w:t>
            </w:r>
            <w:r w:rsidRPr="00821D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صين في مجال المحاسبة والإدارة "</w:t>
            </w:r>
          </w:p>
        </w:tc>
        <w:tc>
          <w:tcPr>
            <w:tcW w:w="2271" w:type="dxa"/>
            <w:vAlign w:val="center"/>
          </w:tcPr>
          <w:p w14:paraId="08B698A7" w14:textId="77777777" w:rsidR="00DF058C" w:rsidRPr="005F4807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مجلة كلية ادارة واقتصاد / المستنصرية</w:t>
            </w:r>
          </w:p>
        </w:tc>
        <w:tc>
          <w:tcPr>
            <w:tcW w:w="992" w:type="dxa"/>
            <w:vAlign w:val="center"/>
          </w:tcPr>
          <w:p w14:paraId="600AF0CB" w14:textId="77777777" w:rsidR="00DF058C" w:rsidRPr="005F4807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1A718A" w14:paraId="7FA8BCE1" w14:textId="77777777" w:rsidTr="00DF058C">
        <w:trPr>
          <w:jc w:val="right"/>
        </w:trPr>
        <w:tc>
          <w:tcPr>
            <w:tcW w:w="7369" w:type="dxa"/>
            <w:vAlign w:val="center"/>
          </w:tcPr>
          <w:p w14:paraId="33CA04BA" w14:textId="349E1A62" w:rsidR="001A718A" w:rsidRPr="00821D58" w:rsidRDefault="001A718A" w:rsidP="001A71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Bahij Myriad Arabic,Bold" w:cs="Bahij Myriad Arabic,Bold" w:hint="cs"/>
                <w:b/>
                <w:bCs/>
                <w:sz w:val="28"/>
                <w:szCs w:val="28"/>
                <w:rtl/>
                <w:lang w:bidi="ar-IQ"/>
              </w:rPr>
              <w:t>إمكانية تطبيق المحاسبة عن الإنجاز في تعزيز الميزة التنافسية في الوحدات الإقتصادية بالتطبيق على معمل ريكان لإنتاج الكتل الكونكريتية</w:t>
            </w:r>
          </w:p>
        </w:tc>
        <w:tc>
          <w:tcPr>
            <w:tcW w:w="2271" w:type="dxa"/>
            <w:vAlign w:val="center"/>
          </w:tcPr>
          <w:p w14:paraId="4F9A070C" w14:textId="7AB9DD2A" w:rsidR="001A718A" w:rsidRDefault="001A718A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SY"/>
              </w:rPr>
              <w:t>كوڤارى زانكو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</w:p>
          <w:p w14:paraId="68241667" w14:textId="3F23289D" w:rsidR="001A718A" w:rsidRDefault="001A718A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سةلاح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OM"/>
              </w:rPr>
              <w:t>ە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دين</w:t>
            </w:r>
          </w:p>
        </w:tc>
        <w:tc>
          <w:tcPr>
            <w:tcW w:w="992" w:type="dxa"/>
            <w:vAlign w:val="center"/>
          </w:tcPr>
          <w:p w14:paraId="4B7C6E85" w14:textId="57976F4C" w:rsidR="001A718A" w:rsidRDefault="001A718A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1A718A" w14:paraId="79F1DFC0" w14:textId="77777777" w:rsidTr="00DF058C">
        <w:trPr>
          <w:jc w:val="right"/>
        </w:trPr>
        <w:tc>
          <w:tcPr>
            <w:tcW w:w="7369" w:type="dxa"/>
            <w:vAlign w:val="center"/>
          </w:tcPr>
          <w:p w14:paraId="2C48A5DE" w14:textId="718C2E17" w:rsidR="001A718A" w:rsidRPr="001A718A" w:rsidRDefault="001A718A" w:rsidP="001A718A">
            <w:pPr>
              <w:jc w:val="center"/>
              <w:rPr>
                <w:rFonts w:cs="Bahij Myriad Arabic,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Bahij Myriad Arabic,Bold" w:cs="Bahij Myriad Arabic,Bold" w:hint="cs"/>
                <w:b/>
                <w:bCs/>
                <w:sz w:val="28"/>
                <w:szCs w:val="28"/>
                <w:rtl/>
                <w:lang w:bidi="ar-IQ"/>
              </w:rPr>
              <w:t>استخدام مقاييس بطاقة الأداء المتوازن في تعزيز الميزة التنافسية في الوحدات الإقتصادية بالتطبيق على معمل ريكان لإنتاج الكتل الكونكريتية</w:t>
            </w:r>
          </w:p>
        </w:tc>
        <w:tc>
          <w:tcPr>
            <w:tcW w:w="2271" w:type="dxa"/>
            <w:vAlign w:val="center"/>
          </w:tcPr>
          <w:p w14:paraId="7A0FF7BB" w14:textId="22DBC697" w:rsidR="001A718A" w:rsidRDefault="001A718A" w:rsidP="001A718A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OM"/>
              </w:rPr>
              <w:t>كۆڤاری قەلا</w:t>
            </w:r>
          </w:p>
        </w:tc>
        <w:tc>
          <w:tcPr>
            <w:tcW w:w="992" w:type="dxa"/>
            <w:vAlign w:val="center"/>
          </w:tcPr>
          <w:p w14:paraId="519FC914" w14:textId="69DA01DB" w:rsidR="001A718A" w:rsidRDefault="001A718A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DF058C" w14:paraId="344C58AF" w14:textId="77777777" w:rsidTr="00DF058C">
        <w:trPr>
          <w:jc w:val="right"/>
        </w:trPr>
        <w:tc>
          <w:tcPr>
            <w:tcW w:w="7369" w:type="dxa"/>
            <w:vAlign w:val="center"/>
          </w:tcPr>
          <w:p w14:paraId="74D98AE4" w14:textId="77777777" w:rsidR="00DF058C" w:rsidRPr="0004552B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6"/>
                <w:rtl/>
                <w:lang w:bidi="ar-SY"/>
              </w:rPr>
            </w:pPr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The role of using strategic profitability analysis in maximizing shareholders value in economic units: An applied study in Dairy factory (</w:t>
            </w:r>
            <w:proofErr w:type="spellStart"/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Gule</w:t>
            </w:r>
            <w:proofErr w:type="spellEnd"/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 xml:space="preserve"> Lade)"</w:t>
            </w:r>
          </w:p>
        </w:tc>
        <w:tc>
          <w:tcPr>
            <w:tcW w:w="2271" w:type="dxa"/>
            <w:vAlign w:val="center"/>
          </w:tcPr>
          <w:p w14:paraId="58B23AAC" w14:textId="77777777" w:rsidR="00DF058C" w:rsidRPr="0004552B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6"/>
                <w:rtl/>
                <w:lang w:bidi="ar-IQ"/>
              </w:rPr>
            </w:pPr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Pal Arch’s Journal of Archaeology of Egypt/Egyptology</w:t>
            </w:r>
          </w:p>
        </w:tc>
        <w:tc>
          <w:tcPr>
            <w:tcW w:w="992" w:type="dxa"/>
            <w:vAlign w:val="center"/>
          </w:tcPr>
          <w:p w14:paraId="4881BD6A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DF058C" w14:paraId="5EEBADFF" w14:textId="77777777" w:rsidTr="00DF058C">
        <w:trPr>
          <w:jc w:val="right"/>
        </w:trPr>
        <w:tc>
          <w:tcPr>
            <w:tcW w:w="7369" w:type="dxa"/>
            <w:vAlign w:val="center"/>
          </w:tcPr>
          <w:p w14:paraId="6FF30EDB" w14:textId="77777777" w:rsidR="00DF058C" w:rsidRPr="0004552B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6"/>
                <w:rtl/>
                <w:lang w:bidi="ar-SY"/>
              </w:rPr>
            </w:pPr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The impact of digital assets on Accounting functions: In light of International Accounting Standards No. (38): An analytical study on a sample of academics and professionals in the city of Erbil"</w:t>
            </w:r>
          </w:p>
        </w:tc>
        <w:tc>
          <w:tcPr>
            <w:tcW w:w="2271" w:type="dxa"/>
            <w:vAlign w:val="center"/>
          </w:tcPr>
          <w:p w14:paraId="5A8DED3B" w14:textId="77777777" w:rsidR="00DF058C" w:rsidRPr="0004552B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6"/>
                <w:rtl/>
                <w:lang w:bidi="ar-IQ"/>
              </w:rPr>
            </w:pPr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Psychology and Education Journal</w:t>
            </w:r>
          </w:p>
        </w:tc>
        <w:tc>
          <w:tcPr>
            <w:tcW w:w="992" w:type="dxa"/>
            <w:vAlign w:val="center"/>
          </w:tcPr>
          <w:p w14:paraId="11D2CC13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DF058C" w14:paraId="3536E591" w14:textId="77777777" w:rsidTr="00DF058C">
        <w:trPr>
          <w:jc w:val="right"/>
        </w:trPr>
        <w:tc>
          <w:tcPr>
            <w:tcW w:w="7369" w:type="dxa"/>
            <w:vAlign w:val="center"/>
          </w:tcPr>
          <w:p w14:paraId="127EF937" w14:textId="77777777" w:rsidR="00DF058C" w:rsidRPr="0004552B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6"/>
                <w:rtl/>
                <w:lang w:bidi="ar-SY"/>
              </w:rPr>
            </w:pPr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 xml:space="preserve">The role of transfer pricing methods to enhance performance evaluation of economic units: An applied study in Alan Group for producing </w:t>
            </w:r>
            <w:proofErr w:type="spellStart"/>
            <w:r w:rsidRPr="0004552B">
              <w:rPr>
                <w:rFonts w:cs="Times New Roman"/>
                <w:b/>
                <w:bCs/>
                <w:color w:val="000000"/>
                <w:sz w:val="28"/>
                <w:szCs w:val="26"/>
              </w:rPr>
              <w:t>Kawanter</w:t>
            </w:r>
            <w:proofErr w:type="spellEnd"/>
            <w:r w:rsidRPr="0004552B">
              <w:rPr>
                <w:rFonts w:cs="Times New Roman"/>
                <w:b/>
                <w:bCs/>
                <w:sz w:val="28"/>
                <w:szCs w:val="26"/>
                <w:lang w:bidi="ar-IQ"/>
              </w:rPr>
              <w:t>.</w:t>
            </w:r>
          </w:p>
        </w:tc>
        <w:tc>
          <w:tcPr>
            <w:tcW w:w="2271" w:type="dxa"/>
            <w:vAlign w:val="center"/>
          </w:tcPr>
          <w:p w14:paraId="2C2B63D6" w14:textId="77777777" w:rsidR="00DF058C" w:rsidRPr="0004552B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6"/>
                <w:rtl/>
                <w:lang w:bidi="ar-IQ"/>
              </w:rPr>
            </w:pPr>
            <w:r w:rsidRPr="0004552B">
              <w:rPr>
                <w:rFonts w:cs="Times New Roman" w:hint="cs"/>
                <w:b/>
                <w:bCs/>
                <w:sz w:val="28"/>
                <w:szCs w:val="26"/>
                <w:rtl/>
                <w:lang w:bidi="ar-IQ"/>
              </w:rPr>
              <w:t>مجلة تكريت للعلوم الإنسانية والإجتماعية</w:t>
            </w:r>
          </w:p>
        </w:tc>
        <w:tc>
          <w:tcPr>
            <w:tcW w:w="992" w:type="dxa"/>
            <w:vAlign w:val="center"/>
          </w:tcPr>
          <w:p w14:paraId="17A1CCB4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DF058C" w14:paraId="6241D443" w14:textId="77777777" w:rsidTr="00DF058C">
        <w:trPr>
          <w:jc w:val="right"/>
        </w:trPr>
        <w:tc>
          <w:tcPr>
            <w:tcW w:w="7369" w:type="dxa"/>
            <w:vAlign w:val="center"/>
          </w:tcPr>
          <w:p w14:paraId="1611ACCB" w14:textId="77777777" w:rsidR="00DF058C" w:rsidRPr="00C34190" w:rsidRDefault="00DF058C" w:rsidP="00DF058C">
            <w:pPr>
              <w:pStyle w:val="BodyText"/>
              <w:bidi w:val="0"/>
              <w:jc w:val="both"/>
              <w:rPr>
                <w:rFonts w:eastAsiaTheme="minorHAnsi" w:cs="Times New Roman"/>
                <w:b/>
                <w:bCs/>
                <w:color w:val="000000"/>
                <w:sz w:val="28"/>
                <w:szCs w:val="26"/>
              </w:rPr>
            </w:pPr>
            <w:r w:rsidRPr="0004552B">
              <w:rPr>
                <w:rFonts w:eastAsiaTheme="minorHAnsi" w:cs="Times New Roman"/>
                <w:b/>
                <w:bCs/>
                <w:color w:val="000000"/>
                <w:sz w:val="28"/>
                <w:szCs w:val="26"/>
              </w:rPr>
              <w:t>The impact of "3C" factors on making pricing decision to achieve company’s objectives: A study of the opinions of a sample of industrial companies' managers and specialized academics/Erbil.</w:t>
            </w:r>
          </w:p>
        </w:tc>
        <w:tc>
          <w:tcPr>
            <w:tcW w:w="2271" w:type="dxa"/>
            <w:vAlign w:val="center"/>
          </w:tcPr>
          <w:p w14:paraId="3F1E954E" w14:textId="77777777" w:rsidR="00DF058C" w:rsidRPr="0004552B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6"/>
                <w:rtl/>
                <w:lang w:bidi="ar-OM"/>
              </w:rPr>
            </w:pPr>
            <w:r w:rsidRPr="0004552B">
              <w:rPr>
                <w:rFonts w:ascii="Times New Roman" w:hAnsi="Times New Roman" w:cs="Times New Roman" w:hint="cs"/>
                <w:b/>
                <w:bCs/>
                <w:sz w:val="28"/>
                <w:szCs w:val="26"/>
                <w:rtl/>
                <w:lang w:bidi="ar-OM"/>
              </w:rPr>
              <w:t>گۆڤاری پۆلی تەكنیك بۆ زانستە مرۆڤایەتیەكان وكۆمەلایەتیەكان</w:t>
            </w:r>
          </w:p>
        </w:tc>
        <w:tc>
          <w:tcPr>
            <w:tcW w:w="992" w:type="dxa"/>
            <w:vAlign w:val="center"/>
          </w:tcPr>
          <w:p w14:paraId="13529599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DF058C" w14:paraId="0D032329" w14:textId="77777777" w:rsidTr="00DF058C">
        <w:trPr>
          <w:jc w:val="right"/>
        </w:trPr>
        <w:tc>
          <w:tcPr>
            <w:tcW w:w="7369" w:type="dxa"/>
            <w:vAlign w:val="center"/>
          </w:tcPr>
          <w:p w14:paraId="12790BB3" w14:textId="77777777" w:rsidR="00DF058C" w:rsidRPr="0004552B" w:rsidRDefault="00DF058C" w:rsidP="00DF058C">
            <w:pPr>
              <w:pStyle w:val="BodyText"/>
              <w:jc w:val="center"/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</w:pPr>
            <w:r w:rsidRPr="0004552B"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  <w:t>دور محتوى الإفصاح الطوعي في تغيير سلوك اصحاب المصالح لدى المصارف التجارية</w:t>
            </w:r>
          </w:p>
          <w:p w14:paraId="48C28115" w14:textId="77777777" w:rsidR="00DF058C" w:rsidRPr="0004552B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6"/>
                <w:rtl/>
              </w:rPr>
            </w:pPr>
            <w:r w:rsidRPr="0004552B">
              <w:rPr>
                <w:rFonts w:cs="Times New Roman"/>
                <w:b/>
                <w:bCs/>
                <w:color w:val="000000"/>
                <w:sz w:val="30"/>
                <w:szCs w:val="28"/>
                <w:rtl/>
              </w:rPr>
              <w:t>(دراسة ميدانية لعينة من اصحاب المصالح في محافظة أربيل)</w:t>
            </w:r>
          </w:p>
        </w:tc>
        <w:tc>
          <w:tcPr>
            <w:tcW w:w="2271" w:type="dxa"/>
            <w:vAlign w:val="center"/>
          </w:tcPr>
          <w:p w14:paraId="68DEDF2A" w14:textId="77777777" w:rsidR="00DF058C" w:rsidRPr="0004552B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6"/>
                <w:rtl/>
                <w:lang w:bidi="ar-IQ"/>
              </w:rPr>
            </w:pPr>
            <w:r w:rsidRPr="0004552B">
              <w:rPr>
                <w:rFonts w:ascii="Times New Roman" w:hAnsi="Times New Roman" w:cs="Times New Roman" w:hint="cs"/>
                <w:b/>
                <w:bCs/>
                <w:sz w:val="28"/>
                <w:szCs w:val="26"/>
                <w:rtl/>
                <w:lang w:bidi="ar-OM"/>
              </w:rPr>
              <w:t>گۆڤاری</w:t>
            </w:r>
            <w:r w:rsidRPr="0004552B">
              <w:rPr>
                <w:rFonts w:ascii="Times New Roman" w:hAnsi="Times New Roman" w:cs="Times New Roman" w:hint="cs"/>
                <w:b/>
                <w:bCs/>
                <w:sz w:val="28"/>
                <w:szCs w:val="26"/>
                <w:rtl/>
                <w:lang w:bidi="ar-IQ"/>
              </w:rPr>
              <w:t xml:space="preserve"> قەڵای زانست</w:t>
            </w:r>
          </w:p>
        </w:tc>
        <w:tc>
          <w:tcPr>
            <w:tcW w:w="992" w:type="dxa"/>
            <w:vAlign w:val="center"/>
          </w:tcPr>
          <w:p w14:paraId="4924349C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DF058C" w14:paraId="3C759C7B" w14:textId="77777777" w:rsidTr="00DF058C">
        <w:trPr>
          <w:jc w:val="right"/>
        </w:trPr>
        <w:tc>
          <w:tcPr>
            <w:tcW w:w="7369" w:type="dxa"/>
            <w:vAlign w:val="center"/>
          </w:tcPr>
          <w:p w14:paraId="4C68913E" w14:textId="77777777" w:rsidR="00DF058C" w:rsidRPr="00C34190" w:rsidRDefault="00DF058C" w:rsidP="00DF058C">
            <w:pPr>
              <w:pStyle w:val="BodyText"/>
              <w:jc w:val="center"/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</w:pPr>
            <w:r w:rsidRPr="00C34190">
              <w:rPr>
                <w:rFonts w:eastAsiaTheme="minorHAnsi" w:cs="Times New Roman" w:hint="cs"/>
                <w:b/>
                <w:bCs/>
                <w:color w:val="000000"/>
                <w:sz w:val="30"/>
                <w:szCs w:val="28"/>
                <w:rtl/>
              </w:rPr>
              <w:t>أ</w:t>
            </w:r>
            <w:r w:rsidRPr="00C34190"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  <w:t>ثر تقييم عناصر القوائم المالية في ظل جائحة كورونا على قرارات منح الإئتمان المصرفي وفق (</w:t>
            </w:r>
            <w:r w:rsidRPr="00C34190"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</w:rPr>
              <w:t>IAS 8</w:t>
            </w:r>
            <w:r w:rsidRPr="00C34190"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  <w:t xml:space="preserve">) </w:t>
            </w:r>
          </w:p>
          <w:p w14:paraId="6298DDF3" w14:textId="77777777" w:rsidR="00DF058C" w:rsidRPr="00C34190" w:rsidRDefault="00DF058C" w:rsidP="00DF058C">
            <w:pPr>
              <w:pStyle w:val="BodyText"/>
              <w:jc w:val="center"/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</w:pPr>
            <w:r w:rsidRPr="00C34190"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</w:rPr>
              <w:t>دراسة ميدانية على مجموعة من المصارف التجارية في محافظة أربيل</w:t>
            </w:r>
          </w:p>
        </w:tc>
        <w:tc>
          <w:tcPr>
            <w:tcW w:w="2271" w:type="dxa"/>
            <w:vAlign w:val="center"/>
          </w:tcPr>
          <w:p w14:paraId="1D8798BC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 w:rsidRPr="00C34190">
              <w:rPr>
                <w:rFonts w:ascii="Times New Roman" w:hAnsi="Times New Roman" w:cs="Times New Roman"/>
                <w:b/>
                <w:bCs/>
                <w:sz w:val="28"/>
                <w:szCs w:val="26"/>
                <w:rtl/>
                <w:lang w:bidi="ar-IQ"/>
              </w:rPr>
              <w:t>المجلة الأكاديمية لجامعة نوروز</w:t>
            </w:r>
          </w:p>
        </w:tc>
        <w:tc>
          <w:tcPr>
            <w:tcW w:w="992" w:type="dxa"/>
            <w:vAlign w:val="center"/>
          </w:tcPr>
          <w:p w14:paraId="75FB1586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DF058C" w14:paraId="5FF9B9E2" w14:textId="77777777" w:rsidTr="00DF058C">
        <w:trPr>
          <w:jc w:val="right"/>
        </w:trPr>
        <w:tc>
          <w:tcPr>
            <w:tcW w:w="7369" w:type="dxa"/>
            <w:vAlign w:val="center"/>
          </w:tcPr>
          <w:p w14:paraId="67E7F971" w14:textId="77777777" w:rsidR="00DF058C" w:rsidRPr="005372A7" w:rsidRDefault="00DF058C" w:rsidP="00DF058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372A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"Implementing Second Generation of costing system and its Impact on Costs Behavior Rationalization/ an Applied Study on the General Firm for the Pharmaceutical Industry and Medical Supplies/ Samarra"</w:t>
            </w:r>
          </w:p>
          <w:p w14:paraId="6EDE881D" w14:textId="77777777" w:rsidR="00DF058C" w:rsidRPr="00DF058C" w:rsidRDefault="00DF058C" w:rsidP="00DF058C">
            <w:pPr>
              <w:pStyle w:val="BodyText"/>
              <w:jc w:val="center"/>
              <w:rPr>
                <w:rFonts w:eastAsiaTheme="minorHAnsi" w:cs="Times New Roman"/>
                <w:b/>
                <w:bCs/>
                <w:color w:val="000000"/>
                <w:sz w:val="30"/>
                <w:szCs w:val="28"/>
                <w:rtl/>
                <w:lang w:bidi="ar-IQ"/>
              </w:rPr>
            </w:pPr>
          </w:p>
        </w:tc>
        <w:tc>
          <w:tcPr>
            <w:tcW w:w="2271" w:type="dxa"/>
            <w:vAlign w:val="center"/>
          </w:tcPr>
          <w:p w14:paraId="3D10434E" w14:textId="77777777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SY"/>
              </w:rPr>
              <w:t>كوفارى زانكو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</w:p>
          <w:p w14:paraId="6A18B5F2" w14:textId="33F2E081" w:rsidR="00DF058C" w:rsidRPr="00C34190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bidi="ar-IQ"/>
              </w:rPr>
              <w:t>سةلاحةديين</w:t>
            </w:r>
          </w:p>
        </w:tc>
        <w:tc>
          <w:tcPr>
            <w:tcW w:w="992" w:type="dxa"/>
            <w:vAlign w:val="center"/>
          </w:tcPr>
          <w:p w14:paraId="5108F707" w14:textId="6F33DB83" w:rsidR="00DF058C" w:rsidRDefault="00DF058C" w:rsidP="00DF058C">
            <w:pPr>
              <w:tabs>
                <w:tab w:val="left" w:pos="5015"/>
              </w:tabs>
              <w:bidi/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</w:tbl>
    <w:p w14:paraId="6CE59AF8" w14:textId="6C2C2C34" w:rsidR="00654F0E" w:rsidRDefault="00654F0E" w:rsidP="00DF058C">
      <w:pPr>
        <w:spacing w:after="0"/>
        <w:jc w:val="right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5A12E981" w:rsidR="00355DCF" w:rsidRDefault="007D029F" w:rsidP="00DF058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0" w:history="1">
        <w:r w:rsidR="00DF058C" w:rsidRPr="00553D22">
          <w:rPr>
            <w:rStyle w:val="Hyperlink"/>
            <w:sz w:val="26"/>
            <w:szCs w:val="26"/>
          </w:rPr>
          <w:t>https://scholar.google.com/citations?user=5JmI-i8AAAAJ&amp;hl=ar</w:t>
        </w:r>
      </w:hyperlink>
    </w:p>
    <w:p w14:paraId="39380649" w14:textId="7EB2FCD5" w:rsidR="00DF058C" w:rsidRDefault="007D029F" w:rsidP="00DF058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1" w:history="1">
        <w:r w:rsidR="00DF058C" w:rsidRPr="00553D22">
          <w:rPr>
            <w:rStyle w:val="Hyperlink"/>
            <w:sz w:val="26"/>
            <w:szCs w:val="26"/>
          </w:rPr>
          <w:t>https://www.linkedin.com/in/hazim-hashim-mohammed-5853b521a/</w:t>
        </w:r>
      </w:hyperlink>
    </w:p>
    <w:p w14:paraId="67671E43" w14:textId="40F53ACD" w:rsidR="00DF058C" w:rsidRDefault="007D029F" w:rsidP="00DF058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2" w:history="1">
        <w:r w:rsidR="00DF058C" w:rsidRPr="00553D22">
          <w:rPr>
            <w:rStyle w:val="Hyperlink"/>
            <w:sz w:val="26"/>
            <w:szCs w:val="26"/>
          </w:rPr>
          <w:t>https://www.researchgate.net/profile/Hazim-Mohammed</w:t>
        </w:r>
      </w:hyperlink>
    </w:p>
    <w:p w14:paraId="682832BC" w14:textId="77777777" w:rsidR="00DF058C" w:rsidRPr="00DF058C" w:rsidRDefault="00DF058C" w:rsidP="00DF058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7D029F" w:rsidP="00E617CC">
      <w:pPr>
        <w:spacing w:after="0"/>
        <w:rPr>
          <w:sz w:val="26"/>
          <w:szCs w:val="26"/>
        </w:rPr>
      </w:pPr>
      <w:hyperlink r:id="rId13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CF7C" w14:textId="77777777" w:rsidR="007D029F" w:rsidRDefault="007D029F" w:rsidP="00E617CC">
      <w:pPr>
        <w:spacing w:after="0" w:line="240" w:lineRule="auto"/>
      </w:pPr>
      <w:r>
        <w:separator/>
      </w:r>
    </w:p>
  </w:endnote>
  <w:endnote w:type="continuationSeparator" w:id="0">
    <w:p w14:paraId="71F8AA27" w14:textId="77777777" w:rsidR="007D029F" w:rsidRDefault="007D029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Bahij Myria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3DC7F" w14:textId="77777777" w:rsidR="007D029F" w:rsidRDefault="007D029F" w:rsidP="00E617CC">
      <w:pPr>
        <w:spacing w:after="0" w:line="240" w:lineRule="auto"/>
      </w:pPr>
      <w:r>
        <w:separator/>
      </w:r>
    </w:p>
  </w:footnote>
  <w:footnote w:type="continuationSeparator" w:id="0">
    <w:p w14:paraId="4DBE961C" w14:textId="77777777" w:rsidR="007D029F" w:rsidRDefault="007D029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20"/>
    <w:multiLevelType w:val="hybridMultilevel"/>
    <w:tmpl w:val="52FAD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770B"/>
    <w:multiLevelType w:val="hybridMultilevel"/>
    <w:tmpl w:val="7990F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28E2"/>
    <w:multiLevelType w:val="hybridMultilevel"/>
    <w:tmpl w:val="0D9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22E0E"/>
    <w:rsid w:val="00137F85"/>
    <w:rsid w:val="00142031"/>
    <w:rsid w:val="001A718A"/>
    <w:rsid w:val="002D445A"/>
    <w:rsid w:val="002D6E2D"/>
    <w:rsid w:val="00355DCF"/>
    <w:rsid w:val="003B5DC4"/>
    <w:rsid w:val="00455E2E"/>
    <w:rsid w:val="004740F2"/>
    <w:rsid w:val="004B3A6E"/>
    <w:rsid w:val="00537E66"/>
    <w:rsid w:val="00577682"/>
    <w:rsid w:val="005E5628"/>
    <w:rsid w:val="00654F0E"/>
    <w:rsid w:val="006C0FE3"/>
    <w:rsid w:val="007D029F"/>
    <w:rsid w:val="00842A86"/>
    <w:rsid w:val="00875D80"/>
    <w:rsid w:val="008F39C1"/>
    <w:rsid w:val="00926352"/>
    <w:rsid w:val="0096455C"/>
    <w:rsid w:val="009E0364"/>
    <w:rsid w:val="00A336A3"/>
    <w:rsid w:val="00A64079"/>
    <w:rsid w:val="00AF4EA3"/>
    <w:rsid w:val="00BB0D65"/>
    <w:rsid w:val="00C36DAD"/>
    <w:rsid w:val="00D47951"/>
    <w:rsid w:val="00D50380"/>
    <w:rsid w:val="00D70783"/>
    <w:rsid w:val="00DE00C5"/>
    <w:rsid w:val="00DF058C"/>
    <w:rsid w:val="00E43C35"/>
    <w:rsid w:val="00E617CC"/>
    <w:rsid w:val="00E873F6"/>
    <w:rsid w:val="00F30068"/>
    <w:rsid w:val="00FA6961"/>
    <w:rsid w:val="00FB2CD6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A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E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A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058C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58C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A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E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A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058C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58C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eer-advice.jobs.ac.uk/cv-and-cover-letter-advice/academic-cover-lett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Hazim-Mohamm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hazim-hashim-mohammed-5853b521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5JmI-i8AAAAJ&amp;hl=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NANO</cp:lastModifiedBy>
  <cp:revision>2</cp:revision>
  <dcterms:created xsi:type="dcterms:W3CDTF">2024-04-01T18:41:00Z</dcterms:created>
  <dcterms:modified xsi:type="dcterms:W3CDTF">2024-04-01T18:41:00Z</dcterms:modified>
</cp:coreProperties>
</file>