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B" w:rsidRPr="002E6AAB" w:rsidRDefault="00C56F0B" w:rsidP="00C56F0B">
      <w:pPr>
        <w:bidi w:val="0"/>
        <w:spacing w:after="160" w:line="256" w:lineRule="auto"/>
        <w:jc w:val="center"/>
        <w:rPr>
          <w:rFonts w:asciiTheme="majorBidi" w:hAnsiTheme="majorBidi" w:cstheme="majorBidi"/>
          <w:b/>
          <w:bCs/>
          <w:sz w:val="24"/>
          <w:szCs w:val="24"/>
        </w:rPr>
      </w:pPr>
      <w:bookmarkStart w:id="0" w:name="_Hlk119331448"/>
      <w:bookmarkStart w:id="1" w:name="_GoBack"/>
      <w:r w:rsidRPr="002E6AAB">
        <w:rPr>
          <w:rFonts w:asciiTheme="majorBidi" w:hAnsiTheme="majorBidi" w:cstheme="majorBidi"/>
          <w:b/>
          <w:bCs/>
          <w:sz w:val="24"/>
          <w:szCs w:val="24"/>
        </w:rPr>
        <w:t>Combined Application of Biochar and Micorrhizal Fungi to Enhances Wheat (</w:t>
      </w:r>
      <w:r w:rsidR="00236A82" w:rsidRPr="00236A82">
        <w:rPr>
          <w:rFonts w:asciiTheme="majorBidi" w:hAnsiTheme="majorBidi" w:cstheme="majorBidi"/>
          <w:b/>
          <w:bCs/>
          <w:i/>
          <w:iCs/>
          <w:sz w:val="24"/>
          <w:szCs w:val="24"/>
        </w:rPr>
        <w:t>Triticum aestivum L</w:t>
      </w:r>
      <w:r w:rsidR="00236A82" w:rsidRPr="00236A82">
        <w:rPr>
          <w:rFonts w:asciiTheme="majorBidi" w:hAnsiTheme="majorBidi" w:cstheme="majorBidi"/>
          <w:b/>
          <w:bCs/>
          <w:sz w:val="24"/>
          <w:szCs w:val="24"/>
        </w:rPr>
        <w:t>.</w:t>
      </w:r>
      <w:r w:rsidRPr="002E6AAB">
        <w:rPr>
          <w:rFonts w:asciiTheme="majorBidi" w:hAnsiTheme="majorBidi" w:cstheme="majorBidi"/>
          <w:b/>
          <w:bCs/>
          <w:sz w:val="24"/>
          <w:szCs w:val="24"/>
        </w:rPr>
        <w:t>) Growth and Yield</w:t>
      </w:r>
    </w:p>
    <w:bookmarkEnd w:id="0"/>
    <w:bookmarkEnd w:id="1"/>
    <w:p w:rsidR="00C56F0B" w:rsidRPr="002E6AAB" w:rsidRDefault="00C56F0B" w:rsidP="00C56F0B">
      <w:pPr>
        <w:bidi w:val="0"/>
        <w:spacing w:after="160" w:line="256" w:lineRule="auto"/>
        <w:jc w:val="center"/>
        <w:rPr>
          <w:rFonts w:asciiTheme="majorBidi" w:hAnsiTheme="majorBidi" w:cstheme="majorBidi"/>
          <w:b/>
          <w:bCs/>
          <w:sz w:val="24"/>
          <w:szCs w:val="24"/>
        </w:rPr>
      </w:pPr>
    </w:p>
    <w:p w:rsidR="00C56F0B" w:rsidRPr="002E6AAB" w:rsidRDefault="00C56F0B" w:rsidP="00C56F0B">
      <w:pPr>
        <w:bidi w:val="0"/>
        <w:spacing w:after="160" w:line="256" w:lineRule="auto"/>
        <w:jc w:val="center"/>
        <w:rPr>
          <w:rFonts w:asciiTheme="majorBidi" w:hAnsiTheme="majorBidi" w:cstheme="majorBidi"/>
          <w:b/>
          <w:bCs/>
          <w:sz w:val="24"/>
          <w:szCs w:val="24"/>
        </w:rPr>
      </w:pPr>
      <w:r w:rsidRPr="002E6AAB">
        <w:rPr>
          <w:rFonts w:asciiTheme="majorBidi" w:hAnsiTheme="majorBidi" w:cstheme="majorBidi"/>
          <w:b/>
          <w:bCs/>
          <w:sz w:val="24"/>
          <w:szCs w:val="24"/>
        </w:rPr>
        <w:t xml:space="preserve">Samana Omer Khdir </w:t>
      </w:r>
      <w:r w:rsidRPr="002E6AAB">
        <w:rPr>
          <w:rFonts w:asciiTheme="majorBidi" w:hAnsiTheme="majorBidi" w:cstheme="majorBidi"/>
          <w:sz w:val="24"/>
          <w:szCs w:val="24"/>
          <w:vertAlign w:val="superscript"/>
        </w:rPr>
        <w:t>1</w:t>
      </w:r>
      <w:r w:rsidRPr="002E6AAB">
        <w:rPr>
          <w:rFonts w:asciiTheme="majorBidi" w:hAnsiTheme="majorBidi" w:cstheme="majorBidi"/>
          <w:b/>
          <w:bCs/>
          <w:sz w:val="24"/>
          <w:szCs w:val="24"/>
        </w:rPr>
        <w:t xml:space="preserve">, </w:t>
      </w:r>
      <w:bookmarkStart w:id="2" w:name="_Hlk97586196"/>
      <w:r w:rsidRPr="002E6AAB">
        <w:rPr>
          <w:rFonts w:asciiTheme="majorBidi" w:hAnsiTheme="majorBidi" w:cstheme="majorBidi"/>
          <w:b/>
          <w:bCs/>
          <w:sz w:val="24"/>
          <w:szCs w:val="24"/>
        </w:rPr>
        <w:t xml:space="preserve">Khwnaw </w:t>
      </w:r>
      <w:bookmarkEnd w:id="2"/>
      <w:r w:rsidRPr="002E6AAB">
        <w:rPr>
          <w:rFonts w:asciiTheme="majorBidi" w:hAnsiTheme="majorBidi" w:cstheme="majorBidi"/>
          <w:b/>
          <w:bCs/>
          <w:sz w:val="24"/>
          <w:szCs w:val="24"/>
        </w:rPr>
        <w:t>Abdulla Rahman</w:t>
      </w:r>
      <w:r w:rsidRPr="002E6AAB">
        <w:rPr>
          <w:rFonts w:asciiTheme="majorBidi" w:hAnsiTheme="majorBidi" w:cstheme="majorBidi"/>
          <w:sz w:val="24"/>
          <w:szCs w:val="24"/>
          <w:vertAlign w:val="superscript"/>
        </w:rPr>
        <w:t>2*</w:t>
      </w:r>
    </w:p>
    <w:p w:rsidR="00C56F0B" w:rsidRPr="002E6AAB" w:rsidRDefault="00C56F0B" w:rsidP="00C56F0B">
      <w:pPr>
        <w:bidi w:val="0"/>
        <w:spacing w:after="160" w:line="256" w:lineRule="auto"/>
        <w:jc w:val="center"/>
        <w:rPr>
          <w:rFonts w:asciiTheme="majorBidi" w:hAnsiTheme="majorBidi" w:cstheme="majorBidi"/>
          <w:sz w:val="24"/>
          <w:szCs w:val="24"/>
        </w:rPr>
      </w:pPr>
      <w:r w:rsidRPr="002E6AAB">
        <w:rPr>
          <w:rFonts w:asciiTheme="majorBidi" w:hAnsiTheme="majorBidi" w:cstheme="majorBidi"/>
          <w:sz w:val="24"/>
          <w:szCs w:val="24"/>
          <w:vertAlign w:val="superscript"/>
        </w:rPr>
        <w:t>1</w:t>
      </w:r>
      <w:r w:rsidRPr="002E6AAB">
        <w:rPr>
          <w:rFonts w:asciiTheme="majorBidi" w:hAnsiTheme="majorBidi" w:cstheme="majorBidi"/>
          <w:b/>
          <w:bCs/>
          <w:sz w:val="24"/>
          <w:szCs w:val="24"/>
          <w:vertAlign w:val="superscript"/>
        </w:rPr>
        <w:t xml:space="preserve"> </w:t>
      </w:r>
      <w:r w:rsidRPr="002E6AAB">
        <w:rPr>
          <w:rFonts w:asciiTheme="majorBidi" w:hAnsiTheme="majorBidi" w:cstheme="majorBidi"/>
          <w:sz w:val="24"/>
          <w:szCs w:val="24"/>
        </w:rPr>
        <w:t>Natural Resources Dept. College of Agricultural Engineering Science, Univ. of Sulaimani.</w:t>
      </w:r>
    </w:p>
    <w:p w:rsidR="00C56F0B" w:rsidRPr="002E6AAB" w:rsidRDefault="00C56F0B" w:rsidP="00C56F0B">
      <w:pPr>
        <w:tabs>
          <w:tab w:val="center" w:pos="4680"/>
          <w:tab w:val="right" w:pos="9360"/>
        </w:tabs>
        <w:bidi w:val="0"/>
        <w:spacing w:after="160" w:line="256" w:lineRule="auto"/>
        <w:rPr>
          <w:rFonts w:asciiTheme="majorBidi" w:hAnsiTheme="majorBidi" w:cstheme="majorBidi"/>
          <w:sz w:val="24"/>
          <w:szCs w:val="24"/>
        </w:rPr>
      </w:pPr>
      <w:r w:rsidRPr="002E6AAB">
        <w:rPr>
          <w:rFonts w:asciiTheme="majorBidi" w:hAnsiTheme="majorBidi" w:cstheme="majorBidi"/>
          <w:sz w:val="24"/>
          <w:szCs w:val="24"/>
          <w:vertAlign w:val="superscript"/>
        </w:rPr>
        <w:tab/>
        <w:t>2</w:t>
      </w:r>
      <w:r w:rsidRPr="002E6AAB">
        <w:rPr>
          <w:rFonts w:asciiTheme="majorBidi" w:hAnsiTheme="majorBidi" w:cstheme="majorBidi"/>
          <w:sz w:val="24"/>
          <w:szCs w:val="24"/>
        </w:rPr>
        <w:t xml:space="preserve">   Soil Dept. College of Agricultural Engineering Science, Univ</w:t>
      </w:r>
      <w:r w:rsidRPr="002E6AAB">
        <w:rPr>
          <w:rFonts w:asciiTheme="majorBidi" w:hAnsiTheme="majorBidi" w:cstheme="majorBidi"/>
          <w:color w:val="000000" w:themeColor="text1"/>
          <w:sz w:val="24"/>
          <w:szCs w:val="24"/>
        </w:rPr>
        <w:t>. of</w:t>
      </w:r>
      <w:r w:rsidR="00ED63C3">
        <w:rPr>
          <w:rFonts w:asciiTheme="majorBidi" w:hAnsiTheme="majorBidi" w:cstheme="majorBidi"/>
          <w:color w:val="000000" w:themeColor="text1"/>
          <w:sz w:val="24"/>
          <w:szCs w:val="24"/>
        </w:rPr>
        <w:t xml:space="preserve"> </w:t>
      </w:r>
      <w:r w:rsidRPr="002E6AAB">
        <w:rPr>
          <w:rFonts w:asciiTheme="majorBidi" w:hAnsiTheme="majorBidi" w:cstheme="majorBidi"/>
          <w:color w:val="000000" w:themeColor="text1"/>
          <w:sz w:val="24"/>
          <w:szCs w:val="24"/>
        </w:rPr>
        <w:t>Salahaddin.</w:t>
      </w:r>
    </w:p>
    <w:p w:rsidR="00C56F0B" w:rsidRPr="002E6AAB" w:rsidRDefault="00C56F0B" w:rsidP="00C56F0B">
      <w:pPr>
        <w:bidi w:val="0"/>
        <w:spacing w:after="160" w:line="256" w:lineRule="auto"/>
        <w:jc w:val="center"/>
        <w:rPr>
          <w:rFonts w:asciiTheme="majorBidi" w:hAnsiTheme="majorBidi" w:cstheme="majorBidi"/>
          <w:sz w:val="24"/>
          <w:szCs w:val="24"/>
        </w:rPr>
      </w:pPr>
      <w:r w:rsidRPr="002E6AAB">
        <w:rPr>
          <w:rFonts w:asciiTheme="majorBidi" w:hAnsiTheme="majorBidi" w:cstheme="majorBidi"/>
          <w:sz w:val="24"/>
          <w:szCs w:val="24"/>
        </w:rPr>
        <w:t>*</w:t>
      </w:r>
      <w:r w:rsidRPr="002E6AAB">
        <w:rPr>
          <w:rFonts w:asciiTheme="majorBidi" w:hAnsiTheme="majorBidi" w:cstheme="majorBidi"/>
          <w:i/>
          <w:iCs/>
          <w:sz w:val="24"/>
          <w:szCs w:val="24"/>
        </w:rPr>
        <w:t>samana.khdir@univsul.edu.iq</w:t>
      </w:r>
    </w:p>
    <w:p w:rsidR="00AC0C65" w:rsidRPr="002E6AAB" w:rsidRDefault="00AC0C65" w:rsidP="00AC0C65">
      <w:pPr>
        <w:numPr>
          <w:ilvl w:val="0"/>
          <w:numId w:val="2"/>
        </w:numPr>
        <w:bidi w:val="0"/>
        <w:spacing w:after="160" w:line="259" w:lineRule="auto"/>
        <w:contextualSpacing/>
        <w:jc w:val="both"/>
        <w:rPr>
          <w:rFonts w:asciiTheme="majorBidi" w:eastAsia="Calibri" w:hAnsiTheme="majorBidi" w:cstheme="majorBidi"/>
          <w:b/>
          <w:bCs/>
          <w:sz w:val="24"/>
          <w:szCs w:val="24"/>
          <w:lang w:val="en-GB"/>
        </w:rPr>
      </w:pPr>
      <w:r w:rsidRPr="002E6AAB">
        <w:rPr>
          <w:rFonts w:asciiTheme="majorBidi" w:eastAsia="Calibri" w:hAnsiTheme="majorBidi" w:cstheme="majorBidi"/>
          <w:b/>
          <w:bCs/>
          <w:sz w:val="24"/>
          <w:szCs w:val="24"/>
          <w:lang w:val="en-GB"/>
        </w:rPr>
        <w:t>Abstract</w:t>
      </w:r>
    </w:p>
    <w:p w:rsidR="00121FB7" w:rsidRDefault="00AC0C65" w:rsidP="00121FB7">
      <w:pPr>
        <w:pStyle w:val="Default"/>
        <w:jc w:val="both"/>
        <w:rPr>
          <w:rFonts w:asciiTheme="majorBidi" w:hAnsiTheme="majorBidi" w:cstheme="majorBidi"/>
        </w:rPr>
      </w:pPr>
      <w:r w:rsidRPr="002E6AAB">
        <w:rPr>
          <w:rFonts w:asciiTheme="majorBidi" w:hAnsiTheme="majorBidi" w:cstheme="majorBidi"/>
        </w:rPr>
        <w:t>The objective of this study is to investigate the combined application of biochar and mycorrhizal fungi on wheat (</w:t>
      </w:r>
      <w:r w:rsidRPr="008B7E0C">
        <w:rPr>
          <w:rFonts w:asciiTheme="majorBidi" w:hAnsiTheme="majorBidi" w:cstheme="majorBidi"/>
          <w:i/>
          <w:iCs/>
        </w:rPr>
        <w:t>Triticum aestivum</w:t>
      </w:r>
      <w:r w:rsidRPr="002E6AAB">
        <w:rPr>
          <w:rFonts w:asciiTheme="majorBidi" w:hAnsiTheme="majorBidi" w:cstheme="majorBidi"/>
        </w:rPr>
        <w:t>) growth and yield in calcareous soil. In this study, 14 treatments were used, including to mycorrhiza, two different manures, and four levels of biochar. The experiment was carried out using a factorial complete randomized design (CRD) with four replicates. Biochar doses were 0, 1, 2, and 3 tons/hectare. The soil was collected from the research field experiment</w:t>
      </w:r>
      <w:r w:rsidR="00962A40">
        <w:rPr>
          <w:rFonts w:asciiTheme="majorBidi" w:hAnsiTheme="majorBidi" w:cstheme="majorBidi"/>
        </w:rPr>
        <w:t xml:space="preserve"> </w:t>
      </w:r>
      <w:r w:rsidR="00962A40" w:rsidRPr="00F66631">
        <w:rPr>
          <w:rFonts w:asciiTheme="majorBidi" w:hAnsiTheme="majorBidi" w:cstheme="majorBidi"/>
        </w:rPr>
        <w:t>in College of Agriculture engineering sciences / Sulaimani University</w:t>
      </w:r>
      <w:r w:rsidR="00D53C8D">
        <w:rPr>
          <w:rFonts w:asciiTheme="majorBidi" w:hAnsiTheme="majorBidi" w:cstheme="majorBidi"/>
        </w:rPr>
        <w:t>.</w:t>
      </w:r>
      <w:r w:rsidRPr="002E6AAB">
        <w:rPr>
          <w:rFonts w:asciiTheme="majorBidi" w:hAnsiTheme="majorBidi" w:cstheme="majorBidi"/>
        </w:rPr>
        <w:t xml:space="preserve"> The results revealed that </w:t>
      </w:r>
    </w:p>
    <w:p w:rsidR="00121FB7" w:rsidRDefault="00121FB7" w:rsidP="00121FB7">
      <w:pPr>
        <w:pStyle w:val="Default"/>
        <w:jc w:val="both"/>
        <w:rPr>
          <w:rFonts w:asciiTheme="majorBidi" w:hAnsiTheme="majorBidi" w:cstheme="majorBidi"/>
        </w:rPr>
      </w:pPr>
    </w:p>
    <w:p w:rsidR="00E239EC" w:rsidRPr="00237630" w:rsidRDefault="00E239EC" w:rsidP="00121FB7">
      <w:pPr>
        <w:pStyle w:val="Default"/>
        <w:jc w:val="both"/>
        <w:rPr>
          <w:rFonts w:asciiTheme="majorBidi" w:hAnsiTheme="majorBidi" w:cstheme="majorBidi"/>
          <w:b/>
          <w:bCs/>
        </w:rPr>
      </w:pPr>
      <w:r w:rsidRPr="002E6AAB">
        <w:rPr>
          <w:rFonts w:asciiTheme="majorBidi" w:eastAsia="Calibri" w:hAnsiTheme="majorBidi" w:cstheme="majorBidi"/>
          <w:b/>
          <w:bCs/>
          <w:lang w:val="en-GB"/>
        </w:rPr>
        <w:t>Introduction</w:t>
      </w:r>
    </w:p>
    <w:p w:rsidR="007643BF" w:rsidRPr="007643BF" w:rsidRDefault="00AA2573" w:rsidP="00797754">
      <w:pPr>
        <w:pStyle w:val="Default"/>
        <w:ind w:left="360"/>
        <w:jc w:val="both"/>
        <w:rPr>
          <w:rFonts w:asciiTheme="majorBidi" w:hAnsiTheme="majorBidi" w:cstheme="majorBidi"/>
        </w:rPr>
      </w:pPr>
      <w:r w:rsidRPr="00AA2573">
        <w:rPr>
          <w:rFonts w:asciiTheme="majorBidi" w:hAnsiTheme="majorBidi" w:cstheme="majorBidi"/>
        </w:rPr>
        <w:t>The effect of biochar (biomass-derived black carbon) on crop growth and nutrient uptake varies depending on the amount of biochar used</w:t>
      </w:r>
      <w:r>
        <w:rPr>
          <w:rFonts w:asciiTheme="majorBidi" w:hAnsiTheme="majorBidi" w:cstheme="majorBidi"/>
        </w:rPr>
        <w:t xml:space="preserve"> in conjunction with fertilizer </w:t>
      </w:r>
      <w:r w:rsidR="004417B4">
        <w:rPr>
          <w:rFonts w:asciiTheme="majorBidi" w:hAnsiTheme="majorBidi" w:cstheme="majorBidi"/>
        </w:rPr>
        <w:fldChar w:fldCharType="begin"/>
      </w:r>
      <w:r w:rsidR="00F145F3">
        <w:rPr>
          <w:rFonts w:asciiTheme="majorBidi" w:hAnsiTheme="majorBidi" w:cstheme="majorBidi"/>
        </w:rPr>
        <w:instrText xml:space="preserve"> ADDIN EN.CITE &lt;EndNote&gt;&lt;Cite&gt;&lt;Author&gt;Solaiman&lt;/Author&gt;&lt;Year&gt;2010&lt;/Year&gt;&lt;RecNum&gt;504&lt;/RecNum&gt;&lt;DisplayText&gt;(Solaiman, Blackwell et al. 2010)&lt;/DisplayText&gt;&lt;record&gt;&lt;rec-number&gt;504&lt;/rec-number&gt;&lt;foreign-keys&gt;&lt;key app="EN" db-id="5a0x0dasczfzejett5ppfe292e2eaz0afvvv" timestamp="1677359362"&gt;504&lt;/key&gt;&lt;/foreign-keys&gt;&lt;ref-type name="Journal Article"&gt;17&lt;/ref-type&gt;&lt;contributors&gt;&lt;authors&gt;&lt;author&gt;Solaiman, Zakaria M&lt;/author&gt;&lt;author&gt;Blackwell, Paul&lt;/author&gt;&lt;author&gt;Abbott, Lynette K&lt;/author&gt;&lt;author&gt;Storer, Paul&lt;/author&gt;&lt;/authors&gt;&lt;/contributors&gt;&lt;titles&gt;&lt;title&gt;Direct and residual effect of biochar application on mycorrhizal root colonisation, growth and nutrition of wheat&lt;/title&gt;&lt;secondary-title&gt;Soil Research&lt;/secondary-title&gt;&lt;/titles&gt;&lt;periodical&gt;&lt;full-title&gt;Soil Research&lt;/full-title&gt;&lt;/periodical&gt;&lt;pages&gt;546-554&lt;/pages&gt;&lt;volume&gt;48&lt;/volume&gt;&lt;number&gt;7&lt;/number&gt;&lt;dates&gt;&lt;year&gt;2010&lt;/year&gt;&lt;/dates&gt;&lt;isbn&gt;1838-6768&lt;/isbn&gt;&lt;urls&gt;&lt;/urls&gt;&lt;/record&gt;&lt;/Cite&gt;&lt;/EndNote&gt;</w:instrText>
      </w:r>
      <w:r w:rsidR="004417B4">
        <w:rPr>
          <w:rFonts w:asciiTheme="majorBidi" w:hAnsiTheme="majorBidi" w:cstheme="majorBidi"/>
        </w:rPr>
        <w:fldChar w:fldCharType="separate"/>
      </w:r>
      <w:r w:rsidR="00F145F3" w:rsidRPr="00F145F3">
        <w:rPr>
          <w:rFonts w:asciiTheme="majorBidi" w:hAnsiTheme="majorBidi" w:cstheme="majorBidi"/>
          <w:noProof/>
        </w:rPr>
        <w:t>(Solaiman, Blackwell et al. 2010)</w:t>
      </w:r>
      <w:r w:rsidR="004417B4">
        <w:rPr>
          <w:rFonts w:asciiTheme="majorBidi" w:hAnsiTheme="majorBidi" w:cstheme="majorBidi"/>
        </w:rPr>
        <w:fldChar w:fldCharType="end"/>
      </w:r>
      <w:r w:rsidR="004417B4">
        <w:rPr>
          <w:rFonts w:asciiTheme="majorBidi" w:hAnsiTheme="majorBidi" w:cstheme="majorBidi"/>
        </w:rPr>
        <w:t xml:space="preserve">. </w:t>
      </w:r>
      <w:r w:rsidR="00342D09" w:rsidRPr="00342D09">
        <w:rPr>
          <w:rFonts w:asciiTheme="majorBidi" w:hAnsiTheme="majorBidi" w:cstheme="majorBidi"/>
        </w:rPr>
        <w:t>Phosphorus is one of the most important essential macronutrients for plants, which contributes in numerous vital functions in plants like p</w:t>
      </w:r>
      <w:r w:rsidR="00342D09">
        <w:rPr>
          <w:rFonts w:asciiTheme="majorBidi" w:hAnsiTheme="majorBidi" w:cstheme="majorBidi"/>
        </w:rPr>
        <w:t xml:space="preserve">hotosynthesis, energy transfer, </w:t>
      </w:r>
      <w:r w:rsidR="00342D09" w:rsidRPr="00342D09">
        <w:rPr>
          <w:rFonts w:asciiTheme="majorBidi" w:hAnsiTheme="majorBidi" w:cstheme="majorBidi"/>
        </w:rPr>
        <w:t>srespiration and cell division. The soils of Iraq are rich in calcium carbonate.</w:t>
      </w:r>
      <w:r w:rsidR="00342D09">
        <w:rPr>
          <w:rFonts w:asciiTheme="majorBidi" w:hAnsiTheme="majorBidi" w:cstheme="majorBidi"/>
        </w:rPr>
        <w:t xml:space="preserve"> </w:t>
      </w:r>
      <w:r w:rsidR="00342D09" w:rsidRPr="00342D09">
        <w:rPr>
          <w:rFonts w:asciiTheme="majorBidi" w:hAnsiTheme="majorBidi" w:cstheme="majorBidi"/>
        </w:rPr>
        <w:t>having a slightly alkaline pH, which causes 70-90% of applied phosphorus fertilizers to be chemically and physically fixed</w:t>
      </w:r>
      <w:r w:rsidR="00342D09">
        <w:rPr>
          <w:rFonts w:asciiTheme="majorBidi" w:hAnsiTheme="majorBidi" w:cstheme="majorBidi"/>
        </w:rPr>
        <w:t xml:space="preserve"> </w:t>
      </w:r>
      <w:r w:rsidR="00342D09">
        <w:rPr>
          <w:rFonts w:asciiTheme="majorBidi" w:hAnsiTheme="majorBidi" w:cstheme="majorBidi"/>
        </w:rPr>
        <w:fldChar w:fldCharType="begin"/>
      </w:r>
      <w:r w:rsidR="00342D09">
        <w:rPr>
          <w:rFonts w:asciiTheme="majorBidi" w:hAnsiTheme="majorBidi" w:cstheme="majorBidi"/>
        </w:rPr>
        <w:instrText xml:space="preserve"> ADDIN EN.CITE &lt;EndNote&gt;&lt;Cite&gt;&lt;Author&gt;Esmail&lt;/Author&gt;&lt;Year&gt;2012&lt;/Year&gt;&lt;RecNum&gt;505&lt;/RecNum&gt;&lt;DisplayText&gt;(Esmail 2012)&lt;/DisplayText&gt;&lt;record&gt;&lt;rec-number&gt;505&lt;/rec-number&gt;&lt;foreign-keys&gt;&lt;key app="EN" db-id="5a0x0dasczfzejett5ppfe292e2eaz0afvvv" timestamp="1677360677"&gt;505&lt;/key&gt;&lt;/foreign-keys&gt;&lt;ref-type name="Journal Article"&gt;17&lt;/ref-type&gt;&lt;contributors&gt;&lt;authors&gt;&lt;author&gt;Esmail, Akram Othman&lt;/author&gt;&lt;/authors&gt;&lt;/contributors&gt;&lt;titles&gt;&lt;title&gt;Effect of Soil Phosphorus Chemical Equilibrium on P-availability for Wheat using Solubility Diagram and (DRIS-Chart) Methods&lt;/title&gt;&lt;secondary-title&gt;Journal of Kirkuk University for Agricultural Sciences Vol&lt;/secondary-title&gt;&lt;/titles&gt;&lt;periodical&gt;&lt;full-title&gt;Journal of Kirkuk University for Agricultural Sciences Vol&lt;/full-title&gt;&lt;/periodical&gt;&lt;volume&gt;3&lt;/volume&gt;&lt;number&gt;2&lt;/number&gt;&lt;dates&gt;&lt;year&gt;2012&lt;/year&gt;&lt;/dates&gt;&lt;urls&gt;&lt;/urls&gt;&lt;/record&gt;&lt;/Cite&gt;&lt;/EndNote&gt;</w:instrText>
      </w:r>
      <w:r w:rsidR="00342D09">
        <w:rPr>
          <w:rFonts w:asciiTheme="majorBidi" w:hAnsiTheme="majorBidi" w:cstheme="majorBidi"/>
        </w:rPr>
        <w:fldChar w:fldCharType="separate"/>
      </w:r>
      <w:r w:rsidR="00342D09">
        <w:rPr>
          <w:rFonts w:asciiTheme="majorBidi" w:hAnsiTheme="majorBidi" w:cstheme="majorBidi"/>
          <w:noProof/>
        </w:rPr>
        <w:t>(Esmail 2012)</w:t>
      </w:r>
      <w:r w:rsidR="00342D09">
        <w:rPr>
          <w:rFonts w:asciiTheme="majorBidi" w:hAnsiTheme="majorBidi" w:cstheme="majorBidi"/>
        </w:rPr>
        <w:fldChar w:fldCharType="end"/>
      </w:r>
      <w:r w:rsidR="00342D09">
        <w:rPr>
          <w:rFonts w:asciiTheme="majorBidi" w:hAnsiTheme="majorBidi" w:cstheme="majorBidi"/>
        </w:rPr>
        <w:t>.</w:t>
      </w:r>
      <w:r w:rsidR="007643BF">
        <w:rPr>
          <w:rFonts w:asciiTheme="majorBidi" w:hAnsiTheme="majorBidi" w:cstheme="majorBidi"/>
        </w:rPr>
        <w:t xml:space="preserve"> </w:t>
      </w:r>
      <w:r w:rsidR="007643BF" w:rsidRPr="007643BF">
        <w:rPr>
          <w:rFonts w:asciiTheme="majorBidi" w:hAnsiTheme="majorBidi" w:cstheme="majorBidi"/>
        </w:rPr>
        <w:t>One of the major yield limiting factors in alkaline calcareous soil i</w:t>
      </w:r>
      <w:r w:rsidR="00797754">
        <w:rPr>
          <w:rFonts w:asciiTheme="majorBidi" w:hAnsiTheme="majorBidi" w:cstheme="majorBidi"/>
        </w:rPr>
        <w:t xml:space="preserve">s phosphorous (P) availability. </w:t>
      </w:r>
      <w:r w:rsidR="007643BF" w:rsidRPr="007643BF">
        <w:rPr>
          <w:rFonts w:asciiTheme="majorBidi" w:hAnsiTheme="majorBidi" w:cstheme="majorBidi"/>
        </w:rPr>
        <w:t>Although calcareous soils contain a lot of P, it's mostly unavailable, so farmers have to use chemical fertilizers to make up for it.</w:t>
      </w:r>
    </w:p>
    <w:p w:rsidR="00237630" w:rsidRDefault="007643BF" w:rsidP="00914EB4">
      <w:pPr>
        <w:pStyle w:val="Default"/>
        <w:ind w:left="360"/>
        <w:jc w:val="both"/>
        <w:rPr>
          <w:rFonts w:asciiTheme="majorBidi" w:hAnsiTheme="majorBidi" w:cstheme="majorBidi"/>
        </w:rPr>
      </w:pPr>
      <w:r w:rsidRPr="007643BF">
        <w:rPr>
          <w:rFonts w:asciiTheme="majorBidi" w:hAnsiTheme="majorBidi" w:cstheme="majorBidi"/>
        </w:rPr>
        <w:t>Chemical fertilizers are expensive, and most farmers cannot afford to buy the required amount of P fertilizer. As a result, the soils remain unfertilized, and the crops suffer from P deficiency. Under stress, arbuscular mycorrhizal fungi (AMF) are known to increase P availability to plants. As a result, strategies to improve the efficiency of AMF are required to increase the availability of P. Mycorrhizal fungi are commonly used as soil inoculums to improve phosphorus availability, s</w:t>
      </w:r>
      <w:r w:rsidR="00914EB4">
        <w:rPr>
          <w:rFonts w:asciiTheme="majorBidi" w:hAnsiTheme="majorBidi" w:cstheme="majorBidi"/>
        </w:rPr>
        <w:t>oil properties, and crop yields</w:t>
      </w:r>
      <w:r w:rsidR="00914EB4">
        <w:rPr>
          <w:rFonts w:asciiTheme="majorBidi" w:hAnsiTheme="majorBidi" w:cstheme="majorBidi"/>
        </w:rPr>
        <w:fldChar w:fldCharType="begin"/>
      </w:r>
      <w:r w:rsidR="00914EB4">
        <w:rPr>
          <w:rFonts w:asciiTheme="majorBidi" w:hAnsiTheme="majorBidi" w:cstheme="majorBidi"/>
        </w:rPr>
        <w:instrText xml:space="preserve"> ADDIN EN.CITE &lt;EndNote&gt;&lt;Cite&gt;&lt;Author&gt;Malik&lt;/Author&gt;&lt;Year&gt;2019&lt;/Year&gt;&lt;RecNum&gt;506&lt;/RecNum&gt;&lt;DisplayText&gt;(Malik, Shah et al. 2019)&lt;/DisplayText&gt;&lt;record&gt;&lt;rec-number&gt;506&lt;/rec-number&gt;&lt;foreign-keys&gt;&lt;key app="EN" db-id="5a0x0dasczfzejett5ppfe292e2eaz0afvvv" timestamp="1677361474"&gt;506&lt;/key&gt;&lt;/foreign-keys&gt;&lt;ref-type name="Journal Article"&gt;17&lt;/ref-type&gt;&lt;contributors&gt;&lt;authors&gt;&lt;author&gt;Malik, Zubaria&lt;/author&gt;&lt;author&gt;Shah, Zahir&lt;/author&gt;&lt;author&gt;Tariq, Muhammad&lt;/author&gt;&lt;/authors&gt;&lt;/contributors&gt;&lt;titles&gt;&lt;title&gt;Biochar improves viability of Arbuscular Mycorrhizal Fungi (AMF) in soil and roots of wheat (Triticum aestivum) and maize (Zea mays L.) under various cropping systems&lt;/title&gt;&lt;secondary-title&gt;Sarhad J. Agric&lt;/secondary-title&gt;&lt;/titles&gt;&lt;periodical&gt;&lt;full-title&gt;Sarhad J. Agric&lt;/full-title&gt;&lt;/periodical&gt;&lt;pages&gt;834-846&lt;/pages&gt;&lt;volume&gt;35&lt;/volume&gt;&lt;number&gt;3&lt;/number&gt;&lt;dates&gt;&lt;year&gt;2019&lt;/year&gt;&lt;/dates&gt;&lt;urls&gt;&lt;/urls&gt;&lt;/record&gt;&lt;/Cite&gt;&lt;/EndNote&gt;</w:instrText>
      </w:r>
      <w:r w:rsidR="00914EB4">
        <w:rPr>
          <w:rFonts w:asciiTheme="majorBidi" w:hAnsiTheme="majorBidi" w:cstheme="majorBidi"/>
        </w:rPr>
        <w:fldChar w:fldCharType="separate"/>
      </w:r>
      <w:r w:rsidR="00914EB4">
        <w:rPr>
          <w:rFonts w:asciiTheme="majorBidi" w:hAnsiTheme="majorBidi" w:cstheme="majorBidi"/>
          <w:noProof/>
        </w:rPr>
        <w:t>(Malik, Shah et al. 2019)</w:t>
      </w:r>
      <w:r w:rsidR="00914EB4">
        <w:rPr>
          <w:rFonts w:asciiTheme="majorBidi" w:hAnsiTheme="majorBidi" w:cstheme="majorBidi"/>
        </w:rPr>
        <w:fldChar w:fldCharType="end"/>
      </w:r>
      <w:r w:rsidR="00E421D8">
        <w:rPr>
          <w:rFonts w:asciiTheme="majorBidi" w:hAnsiTheme="majorBidi" w:cstheme="majorBidi"/>
        </w:rPr>
        <w:t>.</w:t>
      </w:r>
    </w:p>
    <w:p w:rsidR="004417B4" w:rsidRDefault="00E421D8" w:rsidP="00B54AFF">
      <w:pPr>
        <w:pStyle w:val="Default"/>
        <w:ind w:left="360"/>
        <w:jc w:val="both"/>
        <w:rPr>
          <w:rFonts w:asciiTheme="majorBidi" w:hAnsiTheme="majorBidi" w:cstheme="majorBidi"/>
        </w:rPr>
      </w:pPr>
      <w:r w:rsidRPr="00E421D8">
        <w:rPr>
          <w:rFonts w:asciiTheme="majorBidi" w:hAnsiTheme="majorBidi" w:cstheme="majorBidi"/>
        </w:rPr>
        <w:t>Biochars are byproducts of the pyrolysis process, which is an irreversible thermochemical conversion of biomass from either plant or animal origin heated at very high temperatures (250 C) in an oxygen-fre</w:t>
      </w:r>
      <w:r>
        <w:rPr>
          <w:rFonts w:asciiTheme="majorBidi" w:hAnsiTheme="majorBidi" w:cstheme="majorBidi"/>
        </w:rPr>
        <w:t>e or oxygen-limited environment</w:t>
      </w:r>
      <w:r>
        <w:rPr>
          <w:rFonts w:asciiTheme="majorBidi" w:hAnsiTheme="majorBidi" w:cstheme="majorBidi"/>
        </w:rPr>
        <w:fldChar w:fldCharType="begin"/>
      </w:r>
      <w:r>
        <w:rPr>
          <w:rFonts w:asciiTheme="majorBidi" w:hAnsiTheme="majorBidi" w:cstheme="majorBidi"/>
        </w:rPr>
        <w:instrText xml:space="preserve"> ADDIN EN.CITE &lt;EndNote&gt;&lt;Cite&gt;&lt;Author&gt;Solaiman&lt;/Author&gt;&lt;Year&gt;2020&lt;/Year&gt;&lt;RecNum&gt;507&lt;/RecNum&gt;&lt;DisplayText&gt;(Solaiman, Shafi et al. 2020)&lt;/DisplayText&gt;&lt;record&gt;&lt;rec-number&gt;507&lt;/rec-number&gt;&lt;foreign-keys&gt;&lt;key app="EN" db-id="5a0x0dasczfzejett5ppfe292e2eaz0afvvv" timestamp="1677439191"&gt;507&lt;/key&gt;&lt;/foreign-keys&gt;&lt;ref-type name="Journal Article"&gt;17&lt;/ref-type&gt;&lt;contributors&gt;&lt;authors&gt;&lt;author&gt;Solaiman, Zakaria M&lt;/author&gt;&lt;author&gt;Shafi, Muhammad Izhar&lt;/author&gt;&lt;author&gt;Beamont, Euan&lt;/author&gt;&lt;author&gt;Anawar, Hossain M&lt;/author&gt;&lt;/authors&gt;&lt;/contributors&gt;&lt;titles&gt;&lt;title&gt;Poultry litter biochar increases mycorrhizal colonisation, soil fertility and cucumber yield in a fertigation system on sandy soil&lt;/title&gt;&lt;secondary-title&gt;Agriculture&lt;/secondary-title&gt;&lt;/titles&gt;&lt;periodical&gt;&lt;full-title&gt;Agriculture&lt;/full-title&gt;&lt;/periodical&gt;&lt;pages&gt;480&lt;/pages&gt;&lt;volume&gt;10&lt;/volume&gt;&lt;number&gt;10&lt;/number&gt;&lt;dates&gt;&lt;year&gt;2020&lt;/year&gt;&lt;/dates&gt;&lt;isbn&gt;2077-0472&lt;/isbn&gt;&lt;urls&gt;&lt;/urls&gt;&lt;/record&gt;&lt;/Cite&gt;&lt;/EndNote&gt;</w:instrText>
      </w:r>
      <w:r>
        <w:rPr>
          <w:rFonts w:asciiTheme="majorBidi" w:hAnsiTheme="majorBidi" w:cstheme="majorBidi"/>
        </w:rPr>
        <w:fldChar w:fldCharType="separate"/>
      </w:r>
      <w:r>
        <w:rPr>
          <w:rFonts w:asciiTheme="majorBidi" w:hAnsiTheme="majorBidi" w:cstheme="majorBidi"/>
          <w:noProof/>
        </w:rPr>
        <w:t>(Solaiman, Shafi et al. 2020)</w:t>
      </w:r>
      <w:r>
        <w:rPr>
          <w:rFonts w:asciiTheme="majorBidi" w:hAnsiTheme="majorBidi" w:cstheme="majorBidi"/>
        </w:rPr>
        <w:fldChar w:fldCharType="end"/>
      </w:r>
      <w:r>
        <w:rPr>
          <w:rFonts w:asciiTheme="majorBidi" w:hAnsiTheme="majorBidi" w:cstheme="majorBidi"/>
        </w:rPr>
        <w:t>.</w:t>
      </w:r>
      <w:r w:rsidR="00671082">
        <w:rPr>
          <w:rFonts w:asciiTheme="majorBidi" w:hAnsiTheme="majorBidi" w:cstheme="majorBidi"/>
        </w:rPr>
        <w:t xml:space="preserve"> </w:t>
      </w:r>
      <w:r w:rsidR="00671082" w:rsidRPr="00671082">
        <w:rPr>
          <w:rFonts w:asciiTheme="majorBidi" w:hAnsiTheme="majorBidi" w:cstheme="majorBidi"/>
        </w:rPr>
        <w:t xml:space="preserve">Biochar properties such as pH, specific surface area, pore volume, cation exchange capacity (CEC), other nutrients, volatile matter, ash, and carbon content are largely determined by the type and source of feedstock used in its production, as well as the temperature and </w:t>
      </w:r>
      <w:r w:rsidR="00671082">
        <w:rPr>
          <w:rFonts w:asciiTheme="majorBidi" w:hAnsiTheme="majorBidi" w:cstheme="majorBidi"/>
        </w:rPr>
        <w:t xml:space="preserve">pyrolysis activation treatments </w:t>
      </w:r>
      <w:r w:rsidR="00671082">
        <w:rPr>
          <w:rFonts w:asciiTheme="majorBidi" w:hAnsiTheme="majorBidi" w:cstheme="majorBidi"/>
        </w:rPr>
        <w:fldChar w:fldCharType="begin"/>
      </w:r>
      <w:r w:rsidR="00671082">
        <w:rPr>
          <w:rFonts w:asciiTheme="majorBidi" w:hAnsiTheme="majorBidi" w:cstheme="majorBidi"/>
        </w:rPr>
        <w:instrText xml:space="preserve"> ADDIN EN.CITE &lt;EndNote&gt;&lt;Cite&gt;&lt;Author&gt;Tomczyk&lt;/Author&gt;&lt;Year&gt;2020&lt;/Year&gt;&lt;RecNum&gt;508&lt;/RecNum&gt;&lt;DisplayText&gt;(Tomczyk, Sokołowska et al. 2020)&lt;/DisplayText&gt;&lt;record&gt;&lt;rec-number&gt;508&lt;/rec-number&gt;&lt;foreign-keys&gt;&lt;key app="EN" db-id="5a0x0dasczfzejett5ppfe292e2eaz0afvvv" timestamp="1677439520"&gt;508&lt;/key&gt;&lt;/foreign-keys&gt;&lt;ref-type name="Journal Article"&gt;17&lt;/ref-type&gt;&lt;contributors&gt;&lt;authors&gt;&lt;author&gt;Tomczyk, Agnieszka&lt;/author&gt;&lt;author&gt;Sokołowska, Zofia&lt;/author&gt;&lt;author&gt;Boguta, Patrycja&lt;/author&gt;&lt;/authors&gt;&lt;/contributors&gt;&lt;titles&gt;&lt;title&gt;Biochar physicochemical properties: pyrolysis temperature and feedstock kind effects&lt;/title&gt;&lt;secondary-title&gt;Reviews in Environmental Science and Bio/Technology&lt;/secondary-title&gt;&lt;/titles&gt;&lt;periodical&gt;&lt;full-title&gt;Reviews in Environmental Science and Bio/Technology&lt;/full-title&gt;&lt;/periodical&gt;&lt;pages&gt;191-215&lt;/pages&gt;&lt;volume&gt;19&lt;/volume&gt;&lt;dates&gt;&lt;year&gt;2020&lt;/year&gt;&lt;/dates&gt;&lt;isbn&gt;1569-1705&lt;/isbn&gt;&lt;urls&gt;&lt;/urls&gt;&lt;/record&gt;&lt;/Cite&gt;&lt;/EndNote&gt;</w:instrText>
      </w:r>
      <w:r w:rsidR="00671082">
        <w:rPr>
          <w:rFonts w:asciiTheme="majorBidi" w:hAnsiTheme="majorBidi" w:cstheme="majorBidi"/>
        </w:rPr>
        <w:fldChar w:fldCharType="separate"/>
      </w:r>
      <w:r w:rsidR="00671082">
        <w:rPr>
          <w:rFonts w:asciiTheme="majorBidi" w:hAnsiTheme="majorBidi" w:cstheme="majorBidi"/>
          <w:noProof/>
        </w:rPr>
        <w:t>(Tomczyk, Sokołowska et al. 2020)</w:t>
      </w:r>
      <w:r w:rsidR="00671082">
        <w:rPr>
          <w:rFonts w:asciiTheme="majorBidi" w:hAnsiTheme="majorBidi" w:cstheme="majorBidi"/>
        </w:rPr>
        <w:fldChar w:fldCharType="end"/>
      </w:r>
      <w:r w:rsidR="00671082">
        <w:rPr>
          <w:rFonts w:asciiTheme="majorBidi" w:hAnsiTheme="majorBidi" w:cstheme="majorBidi"/>
        </w:rPr>
        <w:t>.</w:t>
      </w:r>
      <w:r w:rsidR="005C3572">
        <w:rPr>
          <w:rFonts w:asciiTheme="majorBidi" w:hAnsiTheme="majorBidi" w:cstheme="majorBidi"/>
        </w:rPr>
        <w:t xml:space="preserve"> </w:t>
      </w:r>
      <w:r w:rsidR="005C3572" w:rsidRPr="005C3572">
        <w:rPr>
          <w:rFonts w:asciiTheme="majorBidi" w:hAnsiTheme="majorBidi" w:cstheme="majorBidi"/>
        </w:rPr>
        <w:t xml:space="preserve">Different feedstocks produce biochar with varying properties due to differences in lignin, cellulose, and moisture content. When compared to crop residue and wood biomass biochar, animal litter and solid waste </w:t>
      </w:r>
      <w:proofErr w:type="spellStart"/>
      <w:r w:rsidR="005C3572" w:rsidRPr="005C3572">
        <w:rPr>
          <w:rFonts w:asciiTheme="majorBidi" w:hAnsiTheme="majorBidi" w:cstheme="majorBidi"/>
        </w:rPr>
        <w:t>biochars</w:t>
      </w:r>
      <w:proofErr w:type="spellEnd"/>
      <w:r w:rsidR="005C3572" w:rsidRPr="005C3572">
        <w:rPr>
          <w:rFonts w:asciiTheme="majorBidi" w:hAnsiTheme="majorBidi" w:cstheme="majorBidi"/>
        </w:rPr>
        <w:t xml:space="preserve"> have a lower surface area, carbon content, and volatile matter, but a higher CEC. </w:t>
      </w:r>
      <w:r w:rsidR="005C3572" w:rsidRPr="005C3572">
        <w:rPr>
          <w:rFonts w:asciiTheme="majorBidi" w:hAnsiTheme="majorBidi" w:cstheme="majorBidi"/>
        </w:rPr>
        <w:lastRenderedPageBreak/>
        <w:t>The application of biochar to soil has been shown to increase soil fertility and, as a re</w:t>
      </w:r>
      <w:r w:rsidR="005C3572">
        <w:rPr>
          <w:rFonts w:asciiTheme="majorBidi" w:hAnsiTheme="majorBidi" w:cstheme="majorBidi"/>
        </w:rPr>
        <w:t xml:space="preserve">sult, agricultural productivity </w:t>
      </w:r>
      <w:r w:rsidR="0075371C">
        <w:rPr>
          <w:rFonts w:asciiTheme="majorBidi" w:hAnsiTheme="majorBidi" w:cstheme="majorBidi"/>
        </w:rPr>
        <w:fldChar w:fldCharType="begin"/>
      </w:r>
      <w:r w:rsidR="0075371C">
        <w:rPr>
          <w:rFonts w:asciiTheme="majorBidi" w:hAnsiTheme="majorBidi" w:cstheme="majorBidi"/>
        </w:rPr>
        <w:instrText xml:space="preserve"> ADDIN EN.CITE &lt;EndNote&gt;&lt;Cite&gt;&lt;Author&gt;Chan&lt;/Author&gt;&lt;Year&gt;2008&lt;/Year&gt;&lt;RecNum&gt;509&lt;/RecNum&gt;&lt;DisplayText&gt;(Chan, Van Zwieten et al. 2008)&lt;/DisplayText&gt;&lt;record&gt;&lt;rec-number&gt;509&lt;/rec-number&gt;&lt;foreign-keys&gt;&lt;key app="EN" db-id="5a0x0dasczfzejett5ppfe292e2eaz0afvvv" timestamp="1677440533"&gt;509&lt;/key&gt;&lt;/foreign-keys&gt;&lt;ref-type name="Journal Article"&gt;17&lt;/ref-type&gt;&lt;contributors&gt;&lt;authors&gt;&lt;author&gt;Chan, KY&lt;/author&gt;&lt;author&gt;Van Zwieten, Lukas&lt;/author&gt;&lt;author&gt;Meszaros, I&lt;/author&gt;&lt;author&gt;Downie, A&lt;/author&gt;&lt;author&gt;Joseph, S&lt;/author&gt;&lt;/authors&gt;&lt;/contributors&gt;&lt;titles&gt;&lt;title&gt;Using poultry litter biochars as soil amendments&lt;/title&gt;&lt;secondary-title&gt;Soil Research&lt;/secondary-title&gt;&lt;/titles&gt;&lt;periodical&gt;&lt;full-title&gt;Soil Research&lt;/full-title&gt;&lt;/periodical&gt;&lt;pages&gt;437-444&lt;/pages&gt;&lt;volume&gt;46&lt;/volume&gt;&lt;number&gt;5&lt;/number&gt;&lt;dates&gt;&lt;year&gt;2008&lt;/year&gt;&lt;/dates&gt;&lt;isbn&gt;1838-6768&lt;/isbn&gt;&lt;urls&gt;&lt;/urls&gt;&lt;/record&gt;&lt;/Cite&gt;&lt;/EndNote&gt;</w:instrText>
      </w:r>
      <w:r w:rsidR="0075371C">
        <w:rPr>
          <w:rFonts w:asciiTheme="majorBidi" w:hAnsiTheme="majorBidi" w:cstheme="majorBidi"/>
        </w:rPr>
        <w:fldChar w:fldCharType="separate"/>
      </w:r>
      <w:r w:rsidR="0075371C">
        <w:rPr>
          <w:rFonts w:asciiTheme="majorBidi" w:hAnsiTheme="majorBidi" w:cstheme="majorBidi"/>
          <w:noProof/>
        </w:rPr>
        <w:t>(Chan, Van Zwieten et al. 2008)</w:t>
      </w:r>
      <w:r w:rsidR="0075371C">
        <w:rPr>
          <w:rFonts w:asciiTheme="majorBidi" w:hAnsiTheme="majorBidi" w:cstheme="majorBidi"/>
        </w:rPr>
        <w:fldChar w:fldCharType="end"/>
      </w:r>
      <w:r w:rsidR="00515EEF">
        <w:rPr>
          <w:rFonts w:asciiTheme="majorBidi" w:hAnsiTheme="majorBidi" w:cstheme="majorBidi"/>
        </w:rPr>
        <w:t xml:space="preserve">. </w:t>
      </w:r>
      <w:r w:rsidR="00515EEF" w:rsidRPr="00515EEF">
        <w:rPr>
          <w:rFonts w:asciiTheme="majorBidi" w:hAnsiTheme="majorBidi" w:cstheme="majorBidi"/>
        </w:rPr>
        <w:t>Soil enhancements such as biochar (BC) are gaining popularity as tools for both mitigating climate change and promoting crop growth. However, the use of biochar can disrupt soil ecosystems by changing the physical, chemical, and bi</w:t>
      </w:r>
      <w:r w:rsidR="00515EEF">
        <w:rPr>
          <w:rFonts w:asciiTheme="majorBidi" w:hAnsiTheme="majorBidi" w:cstheme="majorBidi"/>
        </w:rPr>
        <w:t xml:space="preserve">ological properties of the soil </w:t>
      </w:r>
      <w:r w:rsidR="00515EEF">
        <w:rPr>
          <w:rFonts w:asciiTheme="majorBidi" w:hAnsiTheme="majorBidi" w:cstheme="majorBidi"/>
        </w:rPr>
        <w:fldChar w:fldCharType="begin"/>
      </w:r>
      <w:r w:rsidR="00515EEF">
        <w:rPr>
          <w:rFonts w:asciiTheme="majorBidi" w:hAnsiTheme="majorBidi" w:cstheme="majorBidi"/>
        </w:rPr>
        <w:instrText xml:space="preserve"> ADDIN EN.CITE &lt;EndNote&gt;&lt;Cite&gt;&lt;Author&gt;Barna&lt;/Author&gt;&lt;Year&gt;2020&lt;/Year&gt;&lt;RecNum&gt;510&lt;/RecNum&gt;&lt;DisplayText&gt;(Barna, Makó et al. 2020)&lt;/DisplayText&gt;&lt;record&gt;&lt;rec-number&gt;510&lt;/rec-number&gt;&lt;foreign-keys&gt;&lt;key app="EN" db-id="5a0x0dasczfzejett5ppfe292e2eaz0afvvv" timestamp="1677441046"&gt;510&lt;/key&gt;&lt;/foreign-keys&gt;&lt;ref-type name="Journal Article"&gt;17&lt;/ref-type&gt;&lt;contributors&gt;&lt;authors&gt;&lt;author&gt;Barna, Gyöngyi&lt;/author&gt;&lt;author&gt;Makó, András&lt;/author&gt;&lt;author&gt;Takács, Tünde&lt;/author&gt;&lt;author&gt;Skic, Kamil&lt;/author&gt;&lt;author&gt;Füzy, Anna&lt;/author&gt;&lt;author&gt;Horel, Ágota&lt;/author&gt;&lt;/authors&gt;&lt;/contributors&gt;&lt;titles&gt;&lt;title&gt;Biochar alters soil physical characteristics, arbuscular mycorrhizal fungi colonization, and glomalin production&lt;/title&gt;&lt;secondary-title&gt;Agronomy&lt;/secondary-title&gt;&lt;/titles&gt;&lt;periodical&gt;&lt;full-title&gt;Agronomy&lt;/full-title&gt;&lt;/periodical&gt;&lt;pages&gt;1933&lt;/pages&gt;&lt;volume&gt;10&lt;/volume&gt;&lt;number&gt;12&lt;/number&gt;&lt;dates&gt;&lt;year&gt;2020&lt;/year&gt;&lt;/dates&gt;&lt;isbn&gt;2073-4395&lt;/isbn&gt;&lt;urls&gt;&lt;/urls&gt;&lt;/record&gt;&lt;/Cite&gt;&lt;/EndNote&gt;</w:instrText>
      </w:r>
      <w:r w:rsidR="00515EEF">
        <w:rPr>
          <w:rFonts w:asciiTheme="majorBidi" w:hAnsiTheme="majorBidi" w:cstheme="majorBidi"/>
        </w:rPr>
        <w:fldChar w:fldCharType="separate"/>
      </w:r>
      <w:r w:rsidR="00515EEF">
        <w:rPr>
          <w:rFonts w:asciiTheme="majorBidi" w:hAnsiTheme="majorBidi" w:cstheme="majorBidi"/>
          <w:noProof/>
        </w:rPr>
        <w:t>(Barna, Makó et al. 2020)</w:t>
      </w:r>
      <w:r w:rsidR="00515EEF">
        <w:rPr>
          <w:rFonts w:asciiTheme="majorBidi" w:hAnsiTheme="majorBidi" w:cstheme="majorBidi"/>
        </w:rPr>
        <w:fldChar w:fldCharType="end"/>
      </w:r>
      <w:r w:rsidR="00515EEF">
        <w:rPr>
          <w:rFonts w:asciiTheme="majorBidi" w:hAnsiTheme="majorBidi" w:cstheme="majorBidi"/>
        </w:rPr>
        <w:t>.</w:t>
      </w:r>
      <w:r w:rsidR="00853903">
        <w:rPr>
          <w:rFonts w:asciiTheme="majorBidi" w:hAnsiTheme="majorBidi" w:cstheme="majorBidi"/>
        </w:rPr>
        <w:t xml:space="preserve"> </w:t>
      </w:r>
      <w:r w:rsidR="00BB3349" w:rsidRPr="00BB3349">
        <w:rPr>
          <w:rFonts w:asciiTheme="majorBidi" w:hAnsiTheme="majorBidi" w:cstheme="majorBidi"/>
        </w:rPr>
        <w:t xml:space="preserve">Biochar addition to soils has the potential to reduce climate change, sequester carbon in soils, and improve crop production. As a result, recent research has focused on biochar production and application, particularly in agricultural settings. Biochar production from discarded organic materials can also </w:t>
      </w:r>
      <w:r w:rsidR="00BB3349">
        <w:rPr>
          <w:rFonts w:asciiTheme="majorBidi" w:hAnsiTheme="majorBidi" w:cstheme="majorBidi"/>
        </w:rPr>
        <w:t xml:space="preserve">help to reduce waste generation </w:t>
      </w:r>
      <w:r w:rsidR="00BB3349">
        <w:rPr>
          <w:rFonts w:asciiTheme="majorBidi" w:hAnsiTheme="majorBidi" w:cstheme="majorBidi"/>
        </w:rPr>
        <w:fldChar w:fldCharType="begin"/>
      </w:r>
      <w:r w:rsidR="0036309D">
        <w:rPr>
          <w:rFonts w:asciiTheme="majorBidi" w:hAnsiTheme="majorBidi" w:cstheme="majorBidi"/>
        </w:rPr>
        <w:instrText xml:space="preserve"> ADDIN EN.CITE &lt;EndNote&gt;&lt;Cite&gt;&lt;Author&gt;Ye&lt;/Author&gt;&lt;Year&gt;2019&lt;/Year&gt;&lt;RecNum&gt;511&lt;/RecNum&gt;&lt;DisplayText&gt;(Ye, Zeng et al. 2019)&lt;/DisplayText&gt;&lt;record&gt;&lt;rec-number&gt;511&lt;/rec-number&gt;&lt;foreign-keys&gt;&lt;key app="EN" db-id="5a0x0dasczfzejett5ppfe292e2eaz0afvvv" timestamp="1677443431"&gt;511&lt;/key&gt;&lt;/foreign-keys&gt;&lt;ref-type name="Journal Article"&gt;17&lt;/ref-type&gt;&lt;contributors&gt;&lt;authors&gt;&lt;author&gt;Ye, Shujing&lt;/author&gt;&lt;author&gt;Zeng, Guangming&lt;/author&gt;&lt;author&gt;Wu, Haipeng&lt;/author&gt;&lt;author&gt;Liang, Jie&lt;/author&gt;&lt;author&gt;Zhang, Chang&lt;/author&gt;&lt;author&gt;Dai, Juan&lt;/author&gt;&lt;author&gt;Xiong, Weiping&lt;/author&gt;&lt;author&gt;Song, Biao&lt;/author&gt;&lt;author&gt;Wu, Shaohua&lt;/author&gt;&lt;author&gt;Yu, Jiangfang&lt;/author&gt;&lt;/authors&gt;&lt;/contributors&gt;&lt;titles&gt;&lt;title&gt;The effects of activated biochar addition on remediation efficiency of co-composting with contaminated wetland soil&lt;/title&gt;&lt;secondary-title&gt;Resources, Conservation and Recycling&lt;/secondary-title&gt;&lt;/titles&gt;&lt;periodical&gt;&lt;full-title&gt;Resources, Conservation and Recycling&lt;/full-title&gt;&lt;/periodical&gt;&lt;pages&gt;278-285&lt;/pages&gt;&lt;volume&gt;140&lt;/volume&gt;&lt;dates&gt;&lt;year&gt;2019&lt;/year&gt;&lt;/dates&gt;&lt;isbn&gt;0921-3449&lt;/isbn&gt;&lt;urls&gt;&lt;/urls&gt;&lt;/record&gt;&lt;/Cite&gt;&lt;/EndNote&gt;</w:instrText>
      </w:r>
      <w:r w:rsidR="00BB3349">
        <w:rPr>
          <w:rFonts w:asciiTheme="majorBidi" w:hAnsiTheme="majorBidi" w:cstheme="majorBidi"/>
        </w:rPr>
        <w:fldChar w:fldCharType="separate"/>
      </w:r>
      <w:r w:rsidR="0036309D" w:rsidRPr="0036309D">
        <w:rPr>
          <w:rFonts w:asciiTheme="majorBidi" w:hAnsiTheme="majorBidi" w:cstheme="majorBidi"/>
          <w:noProof/>
        </w:rPr>
        <w:t>(Ye, Zeng et al. 2019)</w:t>
      </w:r>
      <w:r w:rsidR="00BB3349">
        <w:rPr>
          <w:rFonts w:asciiTheme="majorBidi" w:hAnsiTheme="majorBidi" w:cstheme="majorBidi"/>
        </w:rPr>
        <w:fldChar w:fldCharType="end"/>
      </w:r>
      <w:r w:rsidR="00BB3349">
        <w:rPr>
          <w:rFonts w:asciiTheme="majorBidi" w:hAnsiTheme="majorBidi" w:cstheme="majorBidi"/>
        </w:rPr>
        <w:t xml:space="preserve">. </w:t>
      </w:r>
      <w:r w:rsidR="00507BF8" w:rsidRPr="00507BF8">
        <w:rPr>
          <w:rFonts w:asciiTheme="majorBidi" w:hAnsiTheme="majorBidi" w:cstheme="majorBidi"/>
        </w:rPr>
        <w:t>The surface area of all particles in a sample is defined as the specific surface area (SSA), which is usually expressed per unit of mass. When it comes to processes that occur at solid-gas phase boundaries, the specific surface area can be defined as the surface accessible to gas molecules and includes both the external and internal surfaces of a solid body. The size, shape, porosity, layer composition, or molecular structure of the solid particles p</w:t>
      </w:r>
      <w:r w:rsidR="004E52A9">
        <w:rPr>
          <w:rFonts w:asciiTheme="majorBidi" w:hAnsiTheme="majorBidi" w:cstheme="majorBidi"/>
        </w:rPr>
        <w:t xml:space="preserve">rimarily determine the surfaces </w:t>
      </w:r>
      <w:r w:rsidR="006225CB">
        <w:rPr>
          <w:rFonts w:asciiTheme="majorBidi" w:hAnsiTheme="majorBidi" w:cstheme="majorBidi"/>
        </w:rPr>
        <w:fldChar w:fldCharType="begin"/>
      </w:r>
      <w:r w:rsidR="006225CB">
        <w:rPr>
          <w:rFonts w:asciiTheme="majorBidi" w:hAnsiTheme="majorBidi" w:cstheme="majorBidi"/>
        </w:rPr>
        <w:instrText xml:space="preserve"> ADDIN EN.CITE &lt;EndNote&gt;&lt;Cite&gt;&lt;Author&gt;Sokolowska&lt;/Author&gt;&lt;Year&gt;2008&lt;/Year&gt;&lt;RecNum&gt;512&lt;/RecNum&gt;&lt;DisplayText&gt;(Sokolowska, Jamroz et al. 2008)&lt;/DisplayText&gt;&lt;record&gt;&lt;rec-number&gt;512&lt;/rec-number&gt;&lt;foreign-keys&gt;&lt;key app="EN" db-id="5a0x0dasczfzejett5ppfe292e2eaz0afvvv" timestamp="1677443853"&gt;512&lt;/key&gt;&lt;/foreign-keys&gt;&lt;ref-type name="Journal Article"&gt;17&lt;/ref-type&gt;&lt;contributors&gt;&lt;authors&gt;&lt;author&gt;Sokolowska, Z&lt;/author&gt;&lt;author&gt;Jamroz, J&lt;/author&gt;&lt;author&gt;Banka, P&lt;/author&gt;&lt;/authors&gt;&lt;/contributors&gt;&lt;titles&gt;&lt;title&gt;Apparent surface area of selected meal extrudes&lt;/title&gt;&lt;secondary-title&gt;International agrophysics&lt;/secondary-title&gt;&lt;/titles&gt;&lt;periodical&gt;&lt;full-title&gt;International agrophysics&lt;/full-title&gt;&lt;/periodical&gt;&lt;pages&gt;75-80&lt;/pages&gt;&lt;volume&gt;22&lt;/volume&gt;&lt;number&gt;1&lt;/number&gt;&lt;dates&gt;&lt;year&gt;2008&lt;/year&gt;&lt;/dates&gt;&lt;isbn&gt;0236-8722&lt;/isbn&gt;&lt;urls&gt;&lt;/urls&gt;&lt;/record&gt;&lt;/Cite&gt;&lt;/EndNote&gt;</w:instrText>
      </w:r>
      <w:r w:rsidR="006225CB">
        <w:rPr>
          <w:rFonts w:asciiTheme="majorBidi" w:hAnsiTheme="majorBidi" w:cstheme="majorBidi"/>
        </w:rPr>
        <w:fldChar w:fldCharType="separate"/>
      </w:r>
      <w:r w:rsidR="006225CB">
        <w:rPr>
          <w:rFonts w:asciiTheme="majorBidi" w:hAnsiTheme="majorBidi" w:cstheme="majorBidi"/>
          <w:noProof/>
        </w:rPr>
        <w:t>(Sokolowska, Jamroz et al. 2008)</w:t>
      </w:r>
      <w:r w:rsidR="006225CB">
        <w:rPr>
          <w:rFonts w:asciiTheme="majorBidi" w:hAnsiTheme="majorBidi" w:cstheme="majorBidi"/>
        </w:rPr>
        <w:fldChar w:fldCharType="end"/>
      </w:r>
      <w:r w:rsidR="006225CB">
        <w:rPr>
          <w:rFonts w:asciiTheme="majorBidi" w:hAnsiTheme="majorBidi" w:cstheme="majorBidi"/>
        </w:rPr>
        <w:t xml:space="preserve">. </w:t>
      </w:r>
      <w:r w:rsidR="006225CB" w:rsidRPr="006225CB">
        <w:rPr>
          <w:rFonts w:asciiTheme="majorBidi" w:hAnsiTheme="majorBidi" w:cstheme="majorBidi"/>
        </w:rPr>
        <w:t>Plants and soil microbiome, including arbuscular mycorrhizal fungi (AMF), contribute to soil carbon storage, and when roots exert pressure on soil particles, they secrete exudates that influence aggre</w:t>
      </w:r>
      <w:r w:rsidR="006225CB">
        <w:rPr>
          <w:rFonts w:asciiTheme="majorBidi" w:hAnsiTheme="majorBidi" w:cstheme="majorBidi"/>
        </w:rPr>
        <w:t xml:space="preserve">gate formation significantly </w:t>
      </w:r>
      <w:r w:rsidR="00B54AFF">
        <w:rPr>
          <w:rFonts w:asciiTheme="majorBidi" w:hAnsiTheme="majorBidi" w:cstheme="majorBidi"/>
        </w:rPr>
        <w:fldChar w:fldCharType="begin"/>
      </w:r>
      <w:r w:rsidR="0036309D">
        <w:rPr>
          <w:rFonts w:asciiTheme="majorBidi" w:hAnsiTheme="majorBidi" w:cstheme="majorBidi"/>
        </w:rPr>
        <w:instrText xml:space="preserve"> ADDIN EN.CITE &lt;EndNote&gt;&lt;Cite&gt;&lt;Author&gt;Pal&lt;/Author&gt;&lt;Year&gt;2014&lt;/Year&gt;&lt;RecNum&gt;513&lt;/RecNum&gt;&lt;DisplayText&gt;(Pal and Pandey 2014)&lt;/DisplayText&gt;&lt;record&gt;&lt;rec-number&gt;513&lt;/rec-number&gt;&lt;foreign-keys&gt;&lt;key app="EN" db-id="5a0x0dasczfzejett5ppfe292e2eaz0afvvv" timestamp="1677444253"&gt;513&lt;/key&gt;&lt;/foreign-keys&gt;&lt;ref-type name="Journal Article"&gt;17&lt;/ref-type&gt;&lt;contributors&gt;&lt;authors&gt;&lt;author&gt;Pal, Ajay&lt;/author&gt;&lt;author&gt;Pandey, Sonali&lt;/author&gt;&lt;/authors&gt;&lt;/contributors&gt;&lt;titles&gt;&lt;title&gt;Role of glomalin in improving soil fertility&lt;/title&gt;&lt;secondary-title&gt;International journal of plant and soil science&lt;/secondary-title&gt;&lt;/titles&gt;&lt;periodical&gt;&lt;full-title&gt;International journal of plant and soil science&lt;/full-title&gt;&lt;/periodical&gt;&lt;pages&gt;112-29&lt;/pages&gt;&lt;volume&gt;3&lt;/volume&gt;&lt;dates&gt;&lt;year&gt;2014&lt;/year&gt;&lt;/dates&gt;&lt;urls&gt;&lt;/urls&gt;&lt;/record&gt;&lt;/Cite&gt;&lt;/EndNote&gt;</w:instrText>
      </w:r>
      <w:r w:rsidR="00B54AFF">
        <w:rPr>
          <w:rFonts w:asciiTheme="majorBidi" w:hAnsiTheme="majorBidi" w:cstheme="majorBidi"/>
        </w:rPr>
        <w:fldChar w:fldCharType="separate"/>
      </w:r>
      <w:r w:rsidR="0036309D" w:rsidRPr="0036309D">
        <w:rPr>
          <w:rFonts w:asciiTheme="majorBidi" w:hAnsiTheme="majorBidi" w:cstheme="majorBidi"/>
          <w:noProof/>
        </w:rPr>
        <w:t>(Pal and Pandey 2014)</w:t>
      </w:r>
      <w:r w:rsidR="00B54AFF">
        <w:rPr>
          <w:rFonts w:asciiTheme="majorBidi" w:hAnsiTheme="majorBidi" w:cstheme="majorBidi"/>
        </w:rPr>
        <w:fldChar w:fldCharType="end"/>
      </w:r>
      <w:r w:rsidR="00B54AFF">
        <w:rPr>
          <w:rFonts w:asciiTheme="majorBidi" w:hAnsiTheme="majorBidi" w:cstheme="majorBidi"/>
        </w:rPr>
        <w:t>.</w:t>
      </w:r>
    </w:p>
    <w:p w:rsidR="00620C0F" w:rsidRDefault="00620C0F" w:rsidP="00B54AFF">
      <w:pPr>
        <w:pStyle w:val="Default"/>
        <w:ind w:left="360"/>
        <w:jc w:val="both"/>
        <w:rPr>
          <w:rFonts w:asciiTheme="majorBidi" w:hAnsiTheme="majorBidi" w:cstheme="majorBidi"/>
        </w:rPr>
      </w:pPr>
    </w:p>
    <w:p w:rsidR="00620C0F" w:rsidRPr="00F66631" w:rsidRDefault="00620C0F" w:rsidP="00620C0F">
      <w:pPr>
        <w:numPr>
          <w:ilvl w:val="0"/>
          <w:numId w:val="2"/>
        </w:numPr>
        <w:bidi w:val="0"/>
        <w:spacing w:after="0" w:line="259" w:lineRule="auto"/>
        <w:contextualSpacing/>
        <w:jc w:val="both"/>
        <w:rPr>
          <w:rFonts w:asciiTheme="majorBidi" w:eastAsia="Calibri" w:hAnsiTheme="majorBidi" w:cstheme="majorBidi"/>
          <w:b/>
          <w:bCs/>
          <w:sz w:val="28"/>
          <w:szCs w:val="28"/>
          <w:lang w:val="en-GB"/>
        </w:rPr>
      </w:pPr>
      <w:r w:rsidRPr="00F66631">
        <w:rPr>
          <w:rFonts w:asciiTheme="majorBidi" w:eastAsia="Calibri" w:hAnsiTheme="majorBidi" w:cstheme="majorBidi"/>
          <w:b/>
          <w:bCs/>
          <w:sz w:val="28"/>
          <w:szCs w:val="28"/>
          <w:lang w:val="en-GB"/>
        </w:rPr>
        <w:t>Materials and Methods</w:t>
      </w:r>
    </w:p>
    <w:p w:rsidR="004417B4" w:rsidRDefault="00620C0F" w:rsidP="00620C0F">
      <w:pPr>
        <w:pStyle w:val="Default"/>
        <w:ind w:left="360"/>
        <w:jc w:val="both"/>
        <w:rPr>
          <w:rFonts w:asciiTheme="majorBidi" w:hAnsiTheme="majorBidi" w:cstheme="majorBidi"/>
        </w:rPr>
      </w:pPr>
      <w:r w:rsidRPr="00F66631">
        <w:rPr>
          <w:rFonts w:asciiTheme="majorBidi" w:hAnsiTheme="majorBidi" w:cstheme="majorBidi"/>
        </w:rPr>
        <w:t>This study was conducted on the region of Sulaimani; the sampling sites were located in Bakrajo (Vertisol) (35</w:t>
      </w:r>
      <w:r w:rsidRPr="00F66631">
        <w:rPr>
          <w:rFonts w:asciiTheme="majorBidi" w:hAnsiTheme="majorBidi" w:cstheme="majorBidi"/>
          <w:vertAlign w:val="superscript"/>
        </w:rPr>
        <w:t>0</w:t>
      </w:r>
      <w:r w:rsidRPr="00F66631">
        <w:rPr>
          <w:rFonts w:asciiTheme="majorBidi" w:hAnsiTheme="majorBidi" w:cstheme="majorBidi"/>
        </w:rPr>
        <w:t>32’15.47” N, 45</w:t>
      </w:r>
      <w:r w:rsidRPr="00F66631">
        <w:rPr>
          <w:rFonts w:asciiTheme="majorBidi" w:hAnsiTheme="majorBidi" w:cstheme="majorBidi"/>
          <w:vertAlign w:val="superscript"/>
        </w:rPr>
        <w:t>0</w:t>
      </w:r>
      <w:r w:rsidRPr="00F66631">
        <w:rPr>
          <w:rFonts w:asciiTheme="majorBidi" w:hAnsiTheme="majorBidi" w:cstheme="majorBidi"/>
        </w:rPr>
        <w:t>21’52.25” E), soil orders was determined by morphological, physical, and chemical soil parameters</w:t>
      </w:r>
      <w:r>
        <w:rPr>
          <w:rFonts w:asciiTheme="majorBidi" w:hAnsiTheme="majorBidi" w:cstheme="majorBidi"/>
        </w:rPr>
        <w:t xml:space="preserve"> </w:t>
      </w:r>
      <w:r>
        <w:rPr>
          <w:rFonts w:asciiTheme="majorBidi" w:hAnsiTheme="majorBidi" w:cstheme="majorBidi"/>
          <w:rtl/>
        </w:rPr>
        <w:fldChar w:fldCharType="begin"/>
      </w:r>
      <w:r w:rsidR="0036309D">
        <w:rPr>
          <w:rFonts w:asciiTheme="majorBidi" w:hAnsiTheme="majorBidi" w:cstheme="majorBidi"/>
          <w:rtl/>
        </w:rPr>
        <w:instrText xml:space="preserve"> </w:instrText>
      </w:r>
      <w:r w:rsidR="0036309D">
        <w:rPr>
          <w:rFonts w:asciiTheme="majorBidi" w:hAnsiTheme="majorBidi" w:cstheme="majorBidi"/>
        </w:rPr>
        <w:instrText>ADDIN EN.CITE &lt;EndNote&gt;&lt;Cite&gt;&lt;Author&gt;Abdulla&lt;/Author&gt;&lt;Year&gt;2015&lt;/Year&gt;&lt;RecNum&gt;514&lt;/RecNum&gt;&lt;DisplayText&gt;(Abdulla 2015)&lt;/DisplayText&gt;&lt;record&gt;&lt;rec-number&gt;514&lt;/rec-number&gt;&lt;foreign-keys&gt;&lt;key app="EN" db-id="5a0x0dasczfzejett5ppfe292e2eaz0afvvv" timestamp="167</w:instrText>
      </w:r>
      <w:r w:rsidR="0036309D">
        <w:rPr>
          <w:rFonts w:asciiTheme="majorBidi" w:hAnsiTheme="majorBidi" w:cstheme="majorBidi"/>
          <w:rtl/>
        </w:rPr>
        <w:instrText>7445159"&gt;514&lt;/</w:instrText>
      </w:r>
      <w:r w:rsidR="0036309D">
        <w:rPr>
          <w:rFonts w:asciiTheme="majorBidi" w:hAnsiTheme="majorBidi" w:cstheme="majorBidi"/>
        </w:rPr>
        <w:instrText>key&gt;&lt;/foreign-keys&gt;&lt;ref-type name="Journal Article"&gt;17&lt;/ref-type&gt;&lt;contributors&gt;&lt;authors&gt;&lt;author&gt;Abdulla, ZO&lt;/author&gt;&lt;/authors&gt;&lt;/contributors&gt;&lt;titles&gt;&lt;title&gt;Characterization and Classification of Soils and Land Use Suitability in Some Selected Areas from Iraqi Kurdistan Region&lt;/title&gt;&lt;secondary-title&gt;University of Sulaimani&lt;/secondary-title&gt;&lt;/titles&gt;&lt;periodical&gt;&lt;full-title&gt;University of Sulaimani&lt;/full-title&gt;&lt;/periodical&gt;&lt;dates&gt;&lt;year&gt;2015&lt;/year&gt;&lt;/dates&gt;&lt;urls&gt;&lt;/urls&gt;&lt;/record&gt;&lt;/Cite&gt;&lt;/EndNote</w:instrText>
      </w:r>
      <w:r w:rsidR="0036309D">
        <w:rPr>
          <w:rFonts w:asciiTheme="majorBidi" w:hAnsiTheme="majorBidi" w:cstheme="majorBidi"/>
          <w:rtl/>
        </w:rPr>
        <w:instrText>&gt;</w:instrText>
      </w:r>
      <w:r>
        <w:rPr>
          <w:rFonts w:asciiTheme="majorBidi" w:hAnsiTheme="majorBidi" w:cstheme="majorBidi"/>
          <w:rtl/>
        </w:rPr>
        <w:fldChar w:fldCharType="separate"/>
      </w:r>
      <w:r w:rsidR="0036309D" w:rsidRPr="0036309D">
        <w:rPr>
          <w:rFonts w:asciiTheme="majorBidi" w:hAnsiTheme="majorBidi" w:cstheme="majorBidi"/>
          <w:noProof/>
        </w:rPr>
        <w:t>(Abdulla 2015)</w:t>
      </w:r>
      <w:r>
        <w:rPr>
          <w:rFonts w:asciiTheme="majorBidi" w:hAnsiTheme="majorBidi" w:cstheme="majorBidi"/>
          <w:rtl/>
        </w:rPr>
        <w:fldChar w:fldCharType="end"/>
      </w:r>
      <w:r>
        <w:rPr>
          <w:rFonts w:asciiTheme="majorBidi" w:hAnsiTheme="majorBidi" w:cstheme="majorBidi"/>
        </w:rPr>
        <w:t>.</w:t>
      </w:r>
    </w:p>
    <w:p w:rsidR="00976CB1" w:rsidRDefault="00976CB1" w:rsidP="00620C0F">
      <w:pPr>
        <w:pStyle w:val="Default"/>
        <w:ind w:left="360"/>
        <w:jc w:val="both"/>
        <w:rPr>
          <w:rFonts w:asciiTheme="majorBidi" w:hAnsiTheme="majorBidi" w:cstheme="majorBidi"/>
        </w:rPr>
      </w:pPr>
    </w:p>
    <w:p w:rsidR="00976CB1" w:rsidRPr="00F66631" w:rsidRDefault="00976CB1" w:rsidP="00976CB1">
      <w:pPr>
        <w:pStyle w:val="Default"/>
        <w:rPr>
          <w:rFonts w:asciiTheme="majorBidi" w:hAnsiTheme="majorBidi" w:cstheme="majorBidi"/>
        </w:rPr>
      </w:pPr>
      <w:r w:rsidRPr="00F66631">
        <w:rPr>
          <w:rFonts w:asciiTheme="majorBidi" w:hAnsiTheme="majorBidi" w:cstheme="majorBidi"/>
          <w:b/>
          <w:bCs/>
        </w:rPr>
        <w:t xml:space="preserve">Pot Experiment </w:t>
      </w:r>
    </w:p>
    <w:p w:rsidR="00976CB1" w:rsidRDefault="00976CB1" w:rsidP="00822C3D">
      <w:pPr>
        <w:pStyle w:val="Default"/>
        <w:ind w:left="360"/>
        <w:jc w:val="both"/>
        <w:rPr>
          <w:shd w:val="clear" w:color="auto" w:fill="FFFFFF"/>
        </w:rPr>
      </w:pPr>
      <w:r w:rsidRPr="00F66631">
        <w:rPr>
          <w:rFonts w:asciiTheme="majorBidi" w:hAnsiTheme="majorBidi" w:cstheme="majorBidi"/>
        </w:rPr>
        <w:t xml:space="preserve">The pot experiment was conducted at the </w:t>
      </w:r>
      <w:r w:rsidR="0036309D">
        <w:rPr>
          <w:rFonts w:asciiTheme="majorBidi" w:hAnsiTheme="majorBidi" w:cstheme="majorBidi"/>
        </w:rPr>
        <w:t>plastic</w:t>
      </w:r>
      <w:r w:rsidRPr="00F66631">
        <w:rPr>
          <w:rFonts w:asciiTheme="majorBidi" w:hAnsiTheme="majorBidi" w:cstheme="majorBidi"/>
        </w:rPr>
        <w:t xml:space="preserve"> house in College of Agriculture engineering sciences / Sulaimani University. The experiment was carried out using a factorial complete randomized design (CRD) and in Triplicate during November 24th, 2021 and May 31th, 2022. Soil samples were taken in (30 cm) soil surface and passed through (4 mm) sieve. Each plastic pot was filled with 0.5 kg gravel and 5.0 kg air-dried soil on top of the gravel. Two different types of Biochar (</w:t>
      </w:r>
      <w:r w:rsidRPr="00F66631">
        <w:rPr>
          <w:rFonts w:asciiTheme="majorBidi" w:hAnsiTheme="majorBidi" w:cstheme="majorBidi"/>
          <w:bCs/>
        </w:rPr>
        <w:t xml:space="preserve">Cattle Manure Biochar, </w:t>
      </w:r>
      <w:r w:rsidRPr="00F66631">
        <w:rPr>
          <w:rFonts w:asciiTheme="majorBidi" w:hAnsiTheme="majorBidi" w:cstheme="majorBidi"/>
        </w:rPr>
        <w:t>Poultry Manure Biochar) were applied to the soil before 14 days of seeding. Wheat (</w:t>
      </w:r>
      <w:r w:rsidRPr="00236A82">
        <w:rPr>
          <w:rFonts w:asciiTheme="majorBidi" w:hAnsiTheme="majorBidi" w:cstheme="majorBidi"/>
          <w:i/>
          <w:iCs/>
        </w:rPr>
        <w:t>Triticum aestivum L</w:t>
      </w:r>
      <w:r w:rsidRPr="00F66631">
        <w:rPr>
          <w:rFonts w:asciiTheme="majorBidi" w:hAnsiTheme="majorBidi" w:cstheme="majorBidi"/>
        </w:rPr>
        <w:t>.) were planted in each pot at 5 cm de</w:t>
      </w:r>
      <w:r>
        <w:rPr>
          <w:rFonts w:asciiTheme="majorBidi" w:hAnsiTheme="majorBidi" w:cstheme="majorBidi"/>
        </w:rPr>
        <w:t xml:space="preserve">pth. Each plastic pot was added </w:t>
      </w:r>
      <w:r w:rsidRPr="00F66631">
        <w:rPr>
          <w:rFonts w:asciiTheme="majorBidi" w:hAnsiTheme="majorBidi" w:cstheme="majorBidi"/>
        </w:rPr>
        <w:t>5 seeds. Three (3g) of Mycorrhiza (</w:t>
      </w:r>
      <w:r w:rsidRPr="00F66631">
        <w:rPr>
          <w:rFonts w:asciiTheme="majorBidi" w:hAnsiTheme="majorBidi" w:cstheme="majorBidi"/>
          <w:i/>
          <w:iCs/>
        </w:rPr>
        <w:t>Glomus</w:t>
      </w:r>
      <w:r w:rsidRPr="00F66631">
        <w:rPr>
          <w:rFonts w:asciiTheme="majorBidi" w:hAnsiTheme="majorBidi" w:cstheme="majorBidi"/>
        </w:rPr>
        <w:t xml:space="preserve"> </w:t>
      </w:r>
      <w:r w:rsidRPr="00F66631">
        <w:rPr>
          <w:rFonts w:asciiTheme="majorBidi" w:hAnsiTheme="majorBidi" w:cstheme="majorBidi"/>
          <w:i/>
          <w:iCs/>
        </w:rPr>
        <w:t>intraradices</w:t>
      </w:r>
      <w:r w:rsidRPr="00F66631">
        <w:rPr>
          <w:rFonts w:asciiTheme="majorBidi" w:hAnsiTheme="majorBidi" w:cstheme="majorBidi"/>
        </w:rPr>
        <w:t xml:space="preserve">) were applied to the soils of each plastic pot before seeding.  Four plants were left in each pot after germination. The water content of the pots was adjusted to 75% of field capacity throughout the experimental period, depending of gravimetric method. At harvesting time, wheat shoots were harvested, measured some yield parameters, weighted, and dried at 65°C for 72 </w:t>
      </w:r>
      <w:r w:rsidR="00834C42" w:rsidRPr="00F66631">
        <w:rPr>
          <w:rFonts w:asciiTheme="majorBidi" w:hAnsiTheme="majorBidi" w:cstheme="majorBidi"/>
        </w:rPr>
        <w:t>hr.</w:t>
      </w:r>
      <w:r w:rsidRPr="00F66631">
        <w:rPr>
          <w:rFonts w:asciiTheme="majorBidi" w:hAnsiTheme="majorBidi" w:cstheme="majorBidi"/>
        </w:rPr>
        <w:t xml:space="preserve"> to determine the dry matter yields. The soil samples were air dried and passed through a 2-mm sieve and stored in plastic bottles prior to physical and chemical analysis. Soil particle size distribution was determined by the pipette method according to</w:t>
      </w:r>
      <w:r w:rsidR="001271A0">
        <w:rPr>
          <w:rFonts w:asciiTheme="majorBidi" w:hAnsiTheme="majorBidi" w:cstheme="majorBidi"/>
        </w:rPr>
        <w:t xml:space="preserve"> </w:t>
      </w:r>
      <w:r w:rsidR="001271A0">
        <w:rPr>
          <w:rFonts w:asciiTheme="majorBidi" w:hAnsiTheme="majorBidi" w:cstheme="majorBidi"/>
        </w:rPr>
        <w:fldChar w:fldCharType="begin"/>
      </w:r>
      <w:r w:rsidR="001271A0">
        <w:rPr>
          <w:rFonts w:asciiTheme="majorBidi" w:hAnsiTheme="majorBidi" w:cstheme="majorBidi"/>
        </w:rPr>
        <w:instrText xml:space="preserve"> ADDIN EN.CITE &lt;EndNote&gt;&lt;Cite&gt;&lt;Author&gt;Black&lt;/Author&gt;&lt;Year&gt;1965&lt;/Year&gt;&lt;RecNum&gt;515&lt;/RecNum&gt;&lt;DisplayText&gt;(Black 1965)&lt;/DisplayText&gt;&lt;record&gt;&lt;rec-number&gt;515&lt;/rec-number&gt;&lt;foreign-keys&gt;&lt;key app="EN" db-id="5a0x0dasczfzejett5ppfe292e2eaz0afvvv" timestamp="1677446027"&gt;515&lt;/key&gt;&lt;/foreign-keys&gt;&lt;ref-type name="Journal Article"&gt;17&lt;/ref-type&gt;&lt;contributors&gt;&lt;authors&gt;&lt;author&gt;Black, CA&lt;/author&gt;&lt;/authors&gt;&lt;/contributors&gt;&lt;titles&gt;&lt;title&gt;Methods of soil analysis agronomy no. 9. Part 2 Amer. Soc&lt;/title&gt;&lt;secondary-title&gt;Agronomy, Madison Wisconsin&lt;/secondary-title&gt;&lt;/titles&gt;&lt;periodical&gt;&lt;full-title&gt;Agronomy, Madison Wisconsin&lt;/full-title&gt;&lt;/periodical&gt;&lt;dates&gt;&lt;year&gt;1965&lt;/year&gt;&lt;/dates&gt;&lt;urls&gt;&lt;/urls&gt;&lt;/record&gt;&lt;/Cite&gt;&lt;/EndNote&gt;</w:instrText>
      </w:r>
      <w:r w:rsidR="001271A0">
        <w:rPr>
          <w:rFonts w:asciiTheme="majorBidi" w:hAnsiTheme="majorBidi" w:cstheme="majorBidi"/>
        </w:rPr>
        <w:fldChar w:fldCharType="separate"/>
      </w:r>
      <w:r w:rsidR="001271A0">
        <w:rPr>
          <w:rFonts w:asciiTheme="majorBidi" w:hAnsiTheme="majorBidi" w:cstheme="majorBidi"/>
          <w:noProof/>
        </w:rPr>
        <w:t>(Black 1965)</w:t>
      </w:r>
      <w:r w:rsidR="001271A0">
        <w:rPr>
          <w:rFonts w:asciiTheme="majorBidi" w:hAnsiTheme="majorBidi" w:cstheme="majorBidi"/>
        </w:rPr>
        <w:fldChar w:fldCharType="end"/>
      </w:r>
      <w:r w:rsidR="001271A0">
        <w:rPr>
          <w:rFonts w:asciiTheme="majorBidi" w:hAnsiTheme="majorBidi" w:cstheme="majorBidi"/>
        </w:rPr>
        <w:t xml:space="preserve">, </w:t>
      </w:r>
      <w:r w:rsidR="001271A0" w:rsidRPr="00F66631">
        <w:rPr>
          <w:rFonts w:asciiTheme="majorBidi" w:hAnsiTheme="majorBidi" w:cstheme="majorBidi"/>
        </w:rPr>
        <w:t>Electrical conductivity (Ec) and pH were measured for the soil dilution extract with using the Ec-meter according to</w:t>
      </w:r>
      <w:r w:rsidR="001271A0">
        <w:rPr>
          <w:rFonts w:asciiTheme="majorBidi" w:hAnsiTheme="majorBidi" w:cstheme="majorBidi"/>
        </w:rPr>
        <w:t xml:space="preserve"> </w:t>
      </w:r>
      <w:r w:rsidR="001271A0">
        <w:rPr>
          <w:rFonts w:asciiTheme="majorBidi" w:hAnsiTheme="majorBidi" w:cstheme="majorBidi"/>
        </w:rPr>
        <w:fldChar w:fldCharType="begin"/>
      </w:r>
      <w:r w:rsidR="001271A0">
        <w:rPr>
          <w:rFonts w:asciiTheme="majorBidi" w:hAnsiTheme="majorBidi" w:cstheme="majorBidi"/>
        </w:rPr>
        <w:instrText xml:space="preserve"> ADDIN EN.CITE &lt;EndNote&gt;&lt;Cite&gt;&lt;Author&gt;Rhoades&lt;/Author&gt;&lt;Year&gt;1996&lt;/Year&gt;&lt;RecNum&gt;517&lt;/RecNum&gt;&lt;DisplayText&gt;(Rhoades 1996)&lt;/DisplayText&gt;&lt;record&gt;&lt;rec-number&gt;517&lt;/rec-number&gt;&lt;foreign-keys&gt;&lt;key app="EN" db-id="5a0x0dasczfzejett5ppfe292e2eaz0afvvv" timestamp="1677446334"&gt;517&lt;/key&gt;&lt;/foreign-keys&gt;&lt;ref-type name="Journal Article"&gt;17&lt;/ref-type&gt;&lt;contributors&gt;&lt;authors&gt;&lt;author&gt;Rhoades, JD&lt;/author&gt;&lt;/authors&gt;&lt;/contributors&gt;&lt;titles&gt;&lt;title&gt;Salinity: Electrical conductivity and total dissolved solids&lt;/title&gt;&lt;secondary-title&gt;Methods of soil analysis: Part 3 Chemical methods&lt;/secondary-title&gt;&lt;/titles&gt;&lt;periodical&gt;&lt;full-title&gt;Methods of soil analysis: Part 3 chemical methods&lt;/full-title&gt;&lt;/periodical&gt;&lt;pages&gt;417-435&lt;/pages&gt;&lt;volume&gt;5&lt;/volume&gt;&lt;dates&gt;&lt;year&gt;1996&lt;/year&gt;&lt;/dates&gt;&lt;urls&gt;&lt;/urls&gt;&lt;/record&gt;&lt;/Cite&gt;&lt;/EndNote&gt;</w:instrText>
      </w:r>
      <w:r w:rsidR="001271A0">
        <w:rPr>
          <w:rFonts w:asciiTheme="majorBidi" w:hAnsiTheme="majorBidi" w:cstheme="majorBidi"/>
        </w:rPr>
        <w:fldChar w:fldCharType="separate"/>
      </w:r>
      <w:r w:rsidR="001271A0">
        <w:rPr>
          <w:rFonts w:asciiTheme="majorBidi" w:hAnsiTheme="majorBidi" w:cstheme="majorBidi"/>
          <w:noProof/>
        </w:rPr>
        <w:t>(Rhoades 1996)</w:t>
      </w:r>
      <w:r w:rsidR="001271A0">
        <w:rPr>
          <w:rFonts w:asciiTheme="majorBidi" w:hAnsiTheme="majorBidi" w:cstheme="majorBidi"/>
        </w:rPr>
        <w:fldChar w:fldCharType="end"/>
      </w:r>
      <w:r w:rsidR="001271A0">
        <w:rPr>
          <w:rFonts w:asciiTheme="majorBidi" w:hAnsiTheme="majorBidi" w:cstheme="majorBidi"/>
        </w:rPr>
        <w:t xml:space="preserve">, </w:t>
      </w:r>
      <w:r w:rsidR="001271A0" w:rsidRPr="00F66631">
        <w:rPr>
          <w:rFonts w:asciiTheme="majorBidi" w:hAnsiTheme="majorBidi" w:cstheme="majorBidi"/>
        </w:rPr>
        <w:t>and pH meter, as mentioned by</w:t>
      </w:r>
      <w:r w:rsidR="001271A0">
        <w:rPr>
          <w:rFonts w:asciiTheme="majorBidi" w:hAnsiTheme="majorBidi" w:cstheme="majorBidi"/>
        </w:rPr>
        <w:t xml:space="preserve"> </w:t>
      </w:r>
      <w:r w:rsidR="001271A0">
        <w:rPr>
          <w:rFonts w:asciiTheme="majorBidi" w:hAnsiTheme="majorBidi" w:cstheme="majorBidi"/>
        </w:rPr>
        <w:fldChar w:fldCharType="begin"/>
      </w:r>
      <w:r w:rsidR="001271A0">
        <w:rPr>
          <w:rFonts w:asciiTheme="majorBidi" w:hAnsiTheme="majorBidi" w:cstheme="majorBidi"/>
        </w:rPr>
        <w:instrText xml:space="preserve"> ADDIN EN.CITE &lt;EndNote&gt;&lt;Cite&gt;&lt;Author&gt;Ryan&lt;/Author&gt;&lt;Year&gt;2001&lt;/Year&gt;&lt;RecNum&gt;518&lt;/RecNum&gt;&lt;DisplayText&gt;(Ryan, Estefan et al. 2001)&lt;/DisplayText&gt;&lt;record&gt;&lt;rec-number&gt;518&lt;/rec-number&gt;&lt;foreign-keys&gt;&lt;key app="EN" db-id="5a0x0dasczfzejett5ppfe292e2eaz0afvvv" timestamp="1677446615"&gt;518&lt;/key&gt;&lt;/foreign-keys&gt;&lt;ref-type name="Book"&gt;6&lt;/ref-type&gt;&lt;contributors&gt;&lt;authors&gt;&lt;author&gt;Ryan, John&lt;/author&gt;&lt;author&gt;Estefan, George&lt;/author&gt;&lt;author&gt;Rashid, Abdul&lt;/author&gt;&lt;/authors&gt;&lt;/contributors&gt;&lt;titles&gt;&lt;title&gt;Soil and plant analysis laboratory manual&lt;/title&gt;&lt;/titles&gt;&lt;dates&gt;&lt;year&gt;2001&lt;/year&gt;&lt;/dates&gt;&lt;publisher&gt;ICARDA&lt;/publisher&gt;&lt;isbn&gt;9291271187&lt;/isbn&gt;&lt;urls&gt;&lt;/urls&gt;&lt;/record&gt;&lt;/Cite&gt;&lt;/EndNote&gt;</w:instrText>
      </w:r>
      <w:r w:rsidR="001271A0">
        <w:rPr>
          <w:rFonts w:asciiTheme="majorBidi" w:hAnsiTheme="majorBidi" w:cstheme="majorBidi"/>
        </w:rPr>
        <w:fldChar w:fldCharType="separate"/>
      </w:r>
      <w:r w:rsidR="001271A0">
        <w:rPr>
          <w:rFonts w:asciiTheme="majorBidi" w:hAnsiTheme="majorBidi" w:cstheme="majorBidi"/>
          <w:noProof/>
        </w:rPr>
        <w:t>(Ryan, Estefan et al. 2001)</w:t>
      </w:r>
      <w:r w:rsidR="001271A0">
        <w:rPr>
          <w:rFonts w:asciiTheme="majorBidi" w:hAnsiTheme="majorBidi" w:cstheme="majorBidi"/>
        </w:rPr>
        <w:fldChar w:fldCharType="end"/>
      </w:r>
      <w:r w:rsidR="008E76E6">
        <w:rPr>
          <w:rFonts w:asciiTheme="majorBidi" w:hAnsiTheme="majorBidi" w:cstheme="majorBidi"/>
        </w:rPr>
        <w:t xml:space="preserve">. </w:t>
      </w:r>
      <w:r w:rsidR="008E76E6" w:rsidRPr="00F66631">
        <w:rPr>
          <w:rFonts w:asciiTheme="majorBidi" w:hAnsiTheme="majorBidi" w:cstheme="majorBidi"/>
        </w:rPr>
        <w:t>Organic matter was determined by using the</w:t>
      </w:r>
      <w:r w:rsidR="008E76E6">
        <w:rPr>
          <w:rFonts w:asciiTheme="majorBidi" w:hAnsiTheme="majorBidi" w:cstheme="majorBidi"/>
        </w:rPr>
        <w:t xml:space="preserve"> </w:t>
      </w:r>
      <w:r w:rsidR="008E76E6">
        <w:rPr>
          <w:rFonts w:asciiTheme="majorBidi" w:hAnsiTheme="majorBidi" w:cstheme="majorBidi"/>
        </w:rPr>
        <w:fldChar w:fldCharType="begin"/>
      </w:r>
      <w:r w:rsidR="008E76E6">
        <w:rPr>
          <w:rFonts w:asciiTheme="majorBidi" w:hAnsiTheme="majorBidi" w:cstheme="majorBidi"/>
        </w:rPr>
        <w:instrText xml:space="preserve"> ADDIN EN.CITE &lt;EndNote&gt;&lt;Cite&gt;&lt;Author&gt;Walkley&lt;/Author&gt;&lt;Year&gt;1934&lt;/Year&gt;&lt;RecNum&gt;519&lt;/RecNum&gt;&lt;DisplayText&gt;(Walkley and Black 1934)&lt;/DisplayText&gt;&lt;record&gt;&lt;rec-number&gt;519&lt;/rec-number&gt;&lt;foreign-keys&gt;&lt;key app="EN" db-id="5a0x0dasczfzejett5ppfe292e2eaz0afvvv" timestamp="1677446720"&gt;519&lt;/key&gt;&lt;/foreign-keys&gt;&lt;ref-type name="Journal Article"&gt;17&lt;/ref-type&gt;&lt;contributors&gt;&lt;authors&gt;&lt;author&gt;Walkley, Aldous&lt;/author&gt;&lt;author&gt;Black, I Armstrong&lt;/author&gt;&lt;/authors&gt;&lt;/contributors&gt;&lt;titles&gt;&lt;title&gt;An examination of the Degtjareff method for determining soil organic matter, and a proposed modification of the chromic acid titration method&lt;/title&gt;&lt;secondary-title&gt;Soil science&lt;/secondary-title&gt;&lt;/titles&gt;&lt;periodical&gt;&lt;full-title&gt;Soil Science&lt;/full-title&gt;&lt;/periodical&gt;&lt;pages&gt;29-38&lt;/pages&gt;&lt;volume&gt;37&lt;/volume&gt;&lt;number&gt;1&lt;/number&gt;&lt;dates&gt;&lt;year&gt;1934&lt;/year&gt;&lt;/dates&gt;&lt;isbn&gt;0038-075X&lt;/isbn&gt;&lt;urls&gt;&lt;/urls&gt;&lt;/record&gt;&lt;/Cite&gt;&lt;/EndNote&gt;</w:instrText>
      </w:r>
      <w:r w:rsidR="008E76E6">
        <w:rPr>
          <w:rFonts w:asciiTheme="majorBidi" w:hAnsiTheme="majorBidi" w:cstheme="majorBidi"/>
        </w:rPr>
        <w:fldChar w:fldCharType="separate"/>
      </w:r>
      <w:r w:rsidR="008E76E6">
        <w:rPr>
          <w:rFonts w:asciiTheme="majorBidi" w:hAnsiTheme="majorBidi" w:cstheme="majorBidi"/>
          <w:noProof/>
        </w:rPr>
        <w:t>(Walkley and Black 1934)</w:t>
      </w:r>
      <w:r w:rsidR="008E76E6">
        <w:rPr>
          <w:rFonts w:asciiTheme="majorBidi" w:hAnsiTheme="majorBidi" w:cstheme="majorBidi"/>
        </w:rPr>
        <w:fldChar w:fldCharType="end"/>
      </w:r>
      <w:r w:rsidR="008E76E6">
        <w:rPr>
          <w:rFonts w:asciiTheme="majorBidi" w:hAnsiTheme="majorBidi" w:cstheme="majorBidi"/>
        </w:rPr>
        <w:t xml:space="preserve">, </w:t>
      </w:r>
      <w:r w:rsidR="008E76E6" w:rsidRPr="00F66631">
        <w:rPr>
          <w:rFonts w:asciiTheme="majorBidi" w:hAnsiTheme="majorBidi" w:cstheme="majorBidi"/>
        </w:rPr>
        <w:t>method, as described by</w:t>
      </w:r>
      <w:r w:rsidR="008E76E6">
        <w:rPr>
          <w:rFonts w:asciiTheme="majorBidi" w:hAnsiTheme="majorBidi" w:cstheme="majorBidi"/>
        </w:rPr>
        <w:t xml:space="preserve"> </w:t>
      </w:r>
      <w:r w:rsidR="00F97DB4">
        <w:rPr>
          <w:rFonts w:asciiTheme="majorBidi" w:hAnsiTheme="majorBidi" w:cstheme="majorBidi"/>
        </w:rPr>
        <w:fldChar w:fldCharType="begin"/>
      </w:r>
      <w:r w:rsidR="00F97DB4">
        <w:rPr>
          <w:rFonts w:asciiTheme="majorBidi" w:hAnsiTheme="majorBidi" w:cstheme="majorBidi"/>
        </w:rPr>
        <w:instrText xml:space="preserve"> ADDIN EN.CITE &lt;EndNote&gt;&lt;Cite&gt;&lt;Author&gt;Loeppert&lt;/Author&gt;&lt;Year&gt;1996&lt;/Year&gt;&lt;RecNum&gt;520&lt;/RecNum&gt;&lt;DisplayText&gt;(Loeppert and Suarez 1996)&lt;/DisplayText&gt;&lt;record&gt;&lt;rec-number&gt;520&lt;/rec-number&gt;&lt;foreign-keys&gt;&lt;key app="EN" db-id="5a0x0dasczfzejett5ppfe292e2eaz0afvvv" timestamp="1677446909"&gt;520&lt;/key&gt;&lt;/foreign-keys&gt;&lt;ref-type name="Journal Article"&gt;17&lt;/ref-type&gt;&lt;contributors&gt;&lt;authors&gt;&lt;author&gt;Loeppert, Richard H&lt;/author&gt;&lt;author&gt;Suarez, Donald L&lt;/author&gt;&lt;/authors&gt;&lt;/contributors&gt;&lt;titles&gt;&lt;title&gt;Carbonate and gypsum&lt;/title&gt;&lt;secondary-title&gt;Methods of soil analysis: Part 3 chemical methods&lt;/secondary-title&gt;&lt;/titles&gt;&lt;periodical&gt;&lt;full-title&gt;Methods of soil analysis: Part 3 chemical methods&lt;/full-title&gt;&lt;/periodical&gt;&lt;pages&gt;437-474&lt;/pages&gt;&lt;volume&gt;5&lt;/volume&gt;&lt;dates&gt;&lt;year&gt;1996&lt;/year&gt;&lt;/dates&gt;&lt;urls&gt;&lt;/urls&gt;&lt;/record&gt;&lt;/Cite&gt;&lt;/EndNote&gt;</w:instrText>
      </w:r>
      <w:r w:rsidR="00F97DB4">
        <w:rPr>
          <w:rFonts w:asciiTheme="majorBidi" w:hAnsiTheme="majorBidi" w:cstheme="majorBidi"/>
        </w:rPr>
        <w:fldChar w:fldCharType="separate"/>
      </w:r>
      <w:r w:rsidR="00F97DB4">
        <w:rPr>
          <w:rFonts w:asciiTheme="majorBidi" w:hAnsiTheme="majorBidi" w:cstheme="majorBidi"/>
          <w:noProof/>
        </w:rPr>
        <w:t>(Loeppert and Suarez 1996)</w:t>
      </w:r>
      <w:r w:rsidR="00F97DB4">
        <w:rPr>
          <w:rFonts w:asciiTheme="majorBidi" w:hAnsiTheme="majorBidi" w:cstheme="majorBidi"/>
        </w:rPr>
        <w:fldChar w:fldCharType="end"/>
      </w:r>
      <w:r w:rsidR="00F97DB4">
        <w:rPr>
          <w:rFonts w:asciiTheme="majorBidi" w:hAnsiTheme="majorBidi" w:cstheme="majorBidi"/>
        </w:rPr>
        <w:t xml:space="preserve">. </w:t>
      </w:r>
      <w:r w:rsidR="00F97DB4" w:rsidRPr="00F66631">
        <w:rPr>
          <w:rFonts w:asciiTheme="majorBidi" w:hAnsiTheme="majorBidi" w:cstheme="majorBidi"/>
        </w:rPr>
        <w:t>The total calcium carbonate equivalent was determined method as mentioned by</w:t>
      </w:r>
      <w:r w:rsidR="00F97DB4">
        <w:rPr>
          <w:rFonts w:asciiTheme="majorBidi" w:hAnsiTheme="majorBidi" w:cstheme="majorBidi"/>
        </w:rPr>
        <w:t xml:space="preserve"> </w:t>
      </w:r>
      <w:r w:rsidR="00B22301">
        <w:rPr>
          <w:rFonts w:asciiTheme="majorBidi" w:hAnsiTheme="majorBidi" w:cstheme="majorBidi"/>
        </w:rPr>
        <w:fldChar w:fldCharType="begin"/>
      </w:r>
      <w:r w:rsidR="00B22301">
        <w:rPr>
          <w:rFonts w:asciiTheme="majorBidi" w:hAnsiTheme="majorBidi" w:cstheme="majorBidi"/>
        </w:rPr>
        <w:instrText xml:space="preserve"> ADDIN EN.CITE &lt;EndNote&gt;&lt;Cite&gt;&lt;Author&gt;Loeppert&lt;/Author&gt;&lt;Year&gt;1996&lt;/Year&gt;&lt;RecNum&gt;521&lt;/RecNum&gt;&lt;DisplayText&gt;(Loeppert and Suarez 1996)&lt;/DisplayText&gt;&lt;record&gt;&lt;rec-number&gt;521&lt;/rec-number&gt;&lt;foreign-keys&gt;&lt;key app="EN" db-id="5a0x0dasczfzejett5ppfe292e2eaz0afvvv" timestamp="1677447354"&gt;521&lt;/key&gt;&lt;/foreign-keys&gt;&lt;ref-type name="Journal Article"&gt;17&lt;/ref-type&gt;&lt;contributors&gt;&lt;authors&gt;&lt;author&gt;Loeppert, Richard H&lt;/author&gt;&lt;author&gt;Suarez, Donald L&lt;/author&gt;&lt;/authors&gt;&lt;/contributors&gt;&lt;titles&gt;&lt;title&gt;Carbonate and gypsum&lt;/title&gt;&lt;secondary-title&gt;Methods of soil analysis: Part 3 chemical methods&lt;/secondary-title&gt;&lt;/titles&gt;&lt;periodical&gt;&lt;full-title&gt;Methods of soil analysis: Part 3 chemical methods&lt;/full-title&gt;&lt;/periodical&gt;&lt;pages&gt;437-474&lt;/pages&gt;&lt;volume&gt;5&lt;/volume&gt;&lt;dates&gt;&lt;year&gt;1996&lt;/year&gt;&lt;/dates&gt;&lt;urls&gt;&lt;/urls&gt;&lt;/record&gt;&lt;/Cite&gt;&lt;/EndNote&gt;</w:instrText>
      </w:r>
      <w:r w:rsidR="00B22301">
        <w:rPr>
          <w:rFonts w:asciiTheme="majorBidi" w:hAnsiTheme="majorBidi" w:cstheme="majorBidi"/>
        </w:rPr>
        <w:fldChar w:fldCharType="separate"/>
      </w:r>
      <w:r w:rsidR="00B22301">
        <w:rPr>
          <w:rFonts w:asciiTheme="majorBidi" w:hAnsiTheme="majorBidi" w:cstheme="majorBidi"/>
          <w:noProof/>
        </w:rPr>
        <w:t>(Loeppert and Suarez 1996)</w:t>
      </w:r>
      <w:r w:rsidR="00B22301">
        <w:rPr>
          <w:rFonts w:asciiTheme="majorBidi" w:hAnsiTheme="majorBidi" w:cstheme="majorBidi"/>
        </w:rPr>
        <w:fldChar w:fldCharType="end"/>
      </w:r>
      <w:r w:rsidR="00B22301">
        <w:rPr>
          <w:rFonts w:asciiTheme="majorBidi" w:hAnsiTheme="majorBidi" w:cstheme="majorBidi"/>
        </w:rPr>
        <w:t xml:space="preserve">. </w:t>
      </w:r>
      <w:r w:rsidR="00B22301" w:rsidRPr="0042671E">
        <w:t xml:space="preserve">Total N was determined by Kjeldahl method as described </w:t>
      </w:r>
      <w:r w:rsidR="00B22301" w:rsidRPr="0099575A">
        <w:rPr>
          <w:color w:val="auto"/>
        </w:rPr>
        <w:t xml:space="preserve">in </w:t>
      </w:r>
      <w:r w:rsidR="00742F87" w:rsidRPr="0099575A">
        <w:rPr>
          <w:color w:val="auto"/>
        </w:rPr>
        <w:fldChar w:fldCharType="begin"/>
      </w:r>
      <w:r w:rsidR="00742F87" w:rsidRPr="0099575A">
        <w:rPr>
          <w:color w:val="auto"/>
        </w:rPr>
        <w:instrText xml:space="preserve"> ADDIN EN.CITE &lt;EndNote&gt;&lt;Cite&gt;&lt;Author&gt;Antoniadis&lt;/Author&gt;&lt;Year&gt;2001&lt;/Year&gt;&lt;RecNum&gt;527&lt;/RecNum&gt;&lt;DisplayText&gt;(Antoniadis and Alloway 2001)&lt;/DisplayText&gt;&lt;record&gt;&lt;rec-number&gt;527&lt;/rec-number&gt;&lt;foreign-keys&gt;&lt;key app="EN" db-id="5a0x0dasczfzejett5ppfe292e2eaz0afvvv" timestamp="1677448986"&gt;527&lt;/key&gt;&lt;/foreign-keys&gt;&lt;ref-type name="Journal Article"&gt;17&lt;/ref-type&gt;&lt;contributors&gt;&lt;authors&gt;&lt;author&gt;Antoniadis, V&lt;/author&gt;&lt;author&gt;Alloway, BJ&lt;/author&gt;&lt;/authors&gt;&lt;/contributors&gt;&lt;titles&gt;&lt;title&gt;Availability of Cd, Ni and Zn to ryegrass in sewage sludge-treated soils at different temperatures&lt;/title&gt;&lt;secondary-title&gt;Water, Air, and Soil Pollution&lt;/secondary-title&gt;&lt;/titles&gt;&lt;periodical&gt;&lt;full-title&gt;Water, Air, and Soil Pollution&lt;/full-title&gt;&lt;/periodical&gt;&lt;pages&gt;201-214&lt;/pages&gt;&lt;volume&gt;132&lt;/volume&gt;&lt;dates&gt;&lt;year&gt;2001&lt;/year&gt;&lt;/dates&gt;&lt;isbn&gt;0049-6979&lt;/isbn&gt;&lt;urls&gt;&lt;/urls&gt;&lt;/record&gt;&lt;/Cite&gt;&lt;/EndNote&gt;</w:instrText>
      </w:r>
      <w:r w:rsidR="00742F87" w:rsidRPr="0099575A">
        <w:rPr>
          <w:color w:val="auto"/>
        </w:rPr>
        <w:fldChar w:fldCharType="separate"/>
      </w:r>
      <w:r w:rsidR="00742F87" w:rsidRPr="0099575A">
        <w:rPr>
          <w:noProof/>
          <w:color w:val="auto"/>
        </w:rPr>
        <w:t>(Antoniadis and Alloway 2001)</w:t>
      </w:r>
      <w:r w:rsidR="00742F87" w:rsidRPr="0099575A">
        <w:rPr>
          <w:color w:val="auto"/>
        </w:rPr>
        <w:fldChar w:fldCharType="end"/>
      </w:r>
      <w:r w:rsidR="00742F87" w:rsidRPr="0099575A">
        <w:rPr>
          <w:color w:val="auto"/>
        </w:rPr>
        <w:t xml:space="preserve">. Available phosphorus using Olsen method as described in </w:t>
      </w:r>
      <w:r w:rsidR="00742F87" w:rsidRPr="0099575A">
        <w:rPr>
          <w:color w:val="auto"/>
        </w:rPr>
        <w:fldChar w:fldCharType="begin"/>
      </w:r>
      <w:r w:rsidR="00742F87" w:rsidRPr="0099575A">
        <w:rPr>
          <w:color w:val="auto"/>
        </w:rPr>
        <w:instrText xml:space="preserve"> ADDIN EN.CITE &lt;EndNote&gt;&lt;Cite&gt;&lt;Author&gt;Javid&lt;/Author&gt;&lt;Year&gt;2002&lt;/Year&gt;&lt;RecNum&gt;528&lt;/RecNum&gt;&lt;DisplayText&gt;(Javid and Rowell 2002)&lt;/DisplayText&gt;&lt;record&gt;&lt;rec-number&gt;528&lt;/rec-number&gt;&lt;foreign-keys&gt;&lt;key app="EN" db-id="5a0x0dasczfzejett5ppfe292e2eaz0afvvv" timestamp="1677449289"&gt;528&lt;/key&gt;&lt;/foreign-keys&gt;&lt;ref-type name="Journal Article"&gt;17&lt;/ref-type&gt;&lt;contributors&gt;&lt;authors&gt;&lt;author&gt;Javid, S&lt;/author&gt;&lt;author&gt;Rowell, DL&lt;/author&gt;&lt;/authors&gt;&lt;/contributors&gt;&lt;titles&gt;&lt;title&gt;A laboratory study of the effect of time and temperature on the decline in Olsen P following phosphate addition to calcareous soils&lt;/title&gt;&lt;secondary-title&gt;Soil Use and Management&lt;/secondary-title&gt;&lt;/titles&gt;&lt;periodical&gt;&lt;full-title&gt;Soil Use and Management&lt;/full-title&gt;&lt;/periodical&gt;&lt;pages&gt;127-134&lt;/pages&gt;&lt;volume&gt;18&lt;/volume&gt;&lt;number&gt;2&lt;/number&gt;&lt;dates&gt;&lt;year&gt;2002&lt;/year&gt;&lt;/dates&gt;&lt;isbn&gt;0266-0032&lt;/isbn&gt;&lt;urls&gt;&lt;/urls&gt;&lt;/record&gt;&lt;/Cite&gt;&lt;/EndNote&gt;</w:instrText>
      </w:r>
      <w:r w:rsidR="00742F87" w:rsidRPr="0099575A">
        <w:rPr>
          <w:color w:val="auto"/>
        </w:rPr>
        <w:fldChar w:fldCharType="separate"/>
      </w:r>
      <w:r w:rsidR="00742F87" w:rsidRPr="0099575A">
        <w:rPr>
          <w:noProof/>
          <w:color w:val="auto"/>
        </w:rPr>
        <w:t>(Javid and Rowell 2002)</w:t>
      </w:r>
      <w:r w:rsidR="00742F87" w:rsidRPr="0099575A">
        <w:rPr>
          <w:color w:val="auto"/>
        </w:rPr>
        <w:fldChar w:fldCharType="end"/>
      </w:r>
      <w:r w:rsidR="00742F87">
        <w:rPr>
          <w:color w:val="FF0000"/>
        </w:rPr>
        <w:t xml:space="preserve">. </w:t>
      </w:r>
      <w:r w:rsidR="00742F87" w:rsidRPr="008A3EF6">
        <w:t xml:space="preserve">and </w:t>
      </w:r>
      <w:r w:rsidR="00742F87" w:rsidRPr="008A3EF6">
        <w:lastRenderedPageBreak/>
        <w:t>spectrophotometer at Wave length of 882 nm (Spectro UV-VIS RS spectrophotometer).</w:t>
      </w:r>
      <w:r w:rsidR="00742F87">
        <w:t xml:space="preserve"> </w:t>
      </w:r>
      <w:r w:rsidR="00742F87" w:rsidRPr="00F0563C">
        <w:t>Sodium and Potassium (Na+, K+): were measured by using (JENWAY, PFP 7 Flame photometer).</w:t>
      </w:r>
      <w:r w:rsidR="00742F87">
        <w:t xml:space="preserve"> Zinc </w:t>
      </w:r>
      <w:r w:rsidR="00742F87" w:rsidRPr="00CD4D84">
        <w:rPr>
          <w:shd w:val="clear" w:color="auto" w:fill="FFFFFF"/>
        </w:rPr>
        <w:t>was developed by</w:t>
      </w:r>
      <w:r w:rsidR="00742F87">
        <w:rPr>
          <w:shd w:val="clear" w:color="auto" w:fill="FFFFFF"/>
        </w:rPr>
        <w:t xml:space="preserve"> </w:t>
      </w:r>
      <w:r w:rsidR="00822C3D">
        <w:rPr>
          <w:shd w:val="clear" w:color="auto" w:fill="FFFFFF"/>
        </w:rPr>
        <w:fldChar w:fldCharType="begin"/>
      </w:r>
      <w:r w:rsidR="00822C3D">
        <w:rPr>
          <w:shd w:val="clear" w:color="auto" w:fill="FFFFFF"/>
        </w:rPr>
        <w:instrText xml:space="preserve"> ADDIN EN.CITE &lt;EndNote&gt;&lt;Cite&gt;&lt;Author&gt;Lindsay&lt;/Author&gt;&lt;Year&gt;1978&lt;/Year&gt;&lt;RecNum&gt;530&lt;/RecNum&gt;&lt;DisplayText&gt;(Lindsay and Norvell 1978)&lt;/DisplayText&gt;&lt;record&gt;&lt;rec-number&gt;530&lt;/rec-number&gt;&lt;foreign-keys&gt;&lt;key app="EN" db-id="5a0x0dasczfzejett5ppfe292e2eaz0afvvv" timestamp="1677449830"&gt;530&lt;/key&gt;&lt;/foreign-keys&gt;&lt;ref-type name="Journal Article"&gt;17&lt;/ref-type&gt;&lt;contributors&gt;&lt;authors&gt;&lt;author&gt;Lindsay, Willard L&lt;/author&gt;&lt;author&gt;Norvell, WAa&lt;/author&gt;&lt;/authors&gt;&lt;/contributors&gt;&lt;titles&gt;&lt;title&gt;Development of a DTPA soil test for zinc, iron, manganese, and copper&lt;/title&gt;&lt;secondary-title&gt;Soil science society of America journal&lt;/secondary-title&gt;&lt;/titles&gt;&lt;periodical&gt;&lt;full-title&gt;Soil science society of America journal&lt;/full-title&gt;&lt;/periodical&gt;&lt;pages&gt;421-428&lt;/pages&gt;&lt;volume&gt;42&lt;/volume&gt;&lt;number&gt;3&lt;/number&gt;&lt;dates&gt;&lt;year&gt;1978&lt;/year&gt;&lt;/dates&gt;&lt;isbn&gt;0361-5995&lt;/isbn&gt;&lt;urls&gt;&lt;/urls&gt;&lt;/record&gt;&lt;/Cite&gt;&lt;/EndNote&gt;</w:instrText>
      </w:r>
      <w:r w:rsidR="00822C3D">
        <w:rPr>
          <w:shd w:val="clear" w:color="auto" w:fill="FFFFFF"/>
        </w:rPr>
        <w:fldChar w:fldCharType="separate"/>
      </w:r>
      <w:r w:rsidR="00822C3D">
        <w:rPr>
          <w:noProof/>
          <w:shd w:val="clear" w:color="auto" w:fill="FFFFFF"/>
        </w:rPr>
        <w:t>(Lindsay and Norvell 1978)</w:t>
      </w:r>
      <w:r w:rsidR="00822C3D">
        <w:rPr>
          <w:shd w:val="clear" w:color="auto" w:fill="FFFFFF"/>
        </w:rPr>
        <w:fldChar w:fldCharType="end"/>
      </w:r>
      <w:r w:rsidR="00822C3D">
        <w:rPr>
          <w:shd w:val="clear" w:color="auto" w:fill="FFFFFF"/>
        </w:rPr>
        <w:t>.</w:t>
      </w:r>
    </w:p>
    <w:p w:rsidR="004037CF" w:rsidRDefault="004037CF" w:rsidP="00822C3D">
      <w:pPr>
        <w:pStyle w:val="Default"/>
        <w:ind w:left="360"/>
        <w:jc w:val="both"/>
        <w:rPr>
          <w:shd w:val="clear" w:color="auto" w:fill="FFFFFF"/>
        </w:rPr>
      </w:pPr>
    </w:p>
    <w:p w:rsidR="00E44D18" w:rsidRDefault="004037CF" w:rsidP="00822C3D">
      <w:pPr>
        <w:pStyle w:val="Default"/>
        <w:ind w:left="360"/>
        <w:jc w:val="both"/>
        <w:rPr>
          <w:rFonts w:asciiTheme="majorBidi" w:hAnsiTheme="majorBidi" w:cstheme="majorBidi"/>
        </w:rPr>
      </w:pPr>
      <w:r w:rsidRPr="0075713C">
        <w:rPr>
          <w:rFonts w:asciiTheme="majorBidi" w:hAnsiTheme="majorBidi" w:cstheme="majorBidi"/>
          <w:b/>
          <w:bCs/>
        </w:rPr>
        <w:t>STATISTICAL ANALYSIS:</w:t>
      </w:r>
      <w:r w:rsidRPr="0075713C">
        <w:rPr>
          <w:rFonts w:asciiTheme="majorBidi" w:hAnsiTheme="majorBidi" w:cstheme="majorBidi"/>
        </w:rPr>
        <w:t xml:space="preserve"> </w:t>
      </w:r>
      <w:r w:rsidRPr="00BE0537">
        <w:rPr>
          <w:rFonts w:asciiTheme="majorBidi" w:hAnsiTheme="majorBidi" w:cstheme="majorBidi"/>
        </w:rPr>
        <w:t>The analysis of variation (ANOVA) and Duncan multiple range tests (DMRT) at p ≤ 0.05 was used to separate the mean</w:t>
      </w:r>
      <w:r>
        <w:rPr>
          <w:rFonts w:asciiTheme="majorBidi" w:hAnsiTheme="majorBidi" w:cstheme="majorBidi"/>
        </w:rPr>
        <w:t>s</w:t>
      </w:r>
      <w:r w:rsidR="00E44D18">
        <w:rPr>
          <w:rFonts w:asciiTheme="majorBidi" w:hAnsiTheme="majorBidi" w:cstheme="majorBidi"/>
        </w:rPr>
        <w:t>.</w:t>
      </w:r>
    </w:p>
    <w:p w:rsidR="00E44D18" w:rsidRDefault="00E44D18" w:rsidP="00822C3D">
      <w:pPr>
        <w:pStyle w:val="Default"/>
        <w:ind w:left="360"/>
        <w:jc w:val="both"/>
        <w:rPr>
          <w:rFonts w:asciiTheme="majorBidi" w:hAnsiTheme="majorBidi" w:cstheme="majorBidi"/>
        </w:rPr>
      </w:pPr>
    </w:p>
    <w:p w:rsidR="00E44D18" w:rsidRDefault="00E44D18" w:rsidP="00822C3D">
      <w:pPr>
        <w:pStyle w:val="Default"/>
        <w:ind w:left="360"/>
        <w:jc w:val="both"/>
        <w:rPr>
          <w:b/>
          <w:bCs/>
        </w:rPr>
      </w:pPr>
      <w:r w:rsidRPr="00E44D18">
        <w:rPr>
          <w:b/>
          <w:bCs/>
        </w:rPr>
        <w:t>RESULTS AND DISCUSSIONS</w:t>
      </w:r>
    </w:p>
    <w:p w:rsidR="00E44D18" w:rsidRDefault="00E44D18" w:rsidP="00822C3D">
      <w:pPr>
        <w:pStyle w:val="Default"/>
        <w:ind w:left="360"/>
        <w:jc w:val="both"/>
        <w:rPr>
          <w:b/>
          <w:bCs/>
        </w:rPr>
      </w:pPr>
    </w:p>
    <w:p w:rsidR="00E44D18" w:rsidRDefault="00E44D18" w:rsidP="00822C3D">
      <w:pPr>
        <w:pStyle w:val="Default"/>
        <w:ind w:left="360"/>
        <w:jc w:val="both"/>
        <w:rPr>
          <w:b/>
          <w:bCs/>
        </w:rPr>
      </w:pPr>
    </w:p>
    <w:p w:rsidR="004037CF" w:rsidRPr="00E44D18" w:rsidRDefault="00E44D18" w:rsidP="00822C3D">
      <w:pPr>
        <w:pStyle w:val="Default"/>
        <w:ind w:left="360"/>
        <w:jc w:val="both"/>
        <w:rPr>
          <w:rFonts w:asciiTheme="majorBidi" w:hAnsiTheme="majorBidi" w:cstheme="majorBidi"/>
          <w:color w:val="FF0000"/>
        </w:rPr>
      </w:pPr>
      <w:r>
        <w:rPr>
          <w:b/>
          <w:bCs/>
          <w:sz w:val="23"/>
          <w:szCs w:val="23"/>
        </w:rPr>
        <w:t xml:space="preserve">REFERENCES </w:t>
      </w:r>
      <w:r w:rsidRPr="00E44D18">
        <w:rPr>
          <w:b/>
          <w:bCs/>
        </w:rPr>
        <w:t xml:space="preserve"> </w:t>
      </w:r>
      <w:r w:rsidR="004037CF" w:rsidRPr="00E44D18">
        <w:rPr>
          <w:rFonts w:asciiTheme="majorBidi" w:hAnsiTheme="majorBidi" w:cstheme="majorBidi"/>
        </w:rPr>
        <w:t xml:space="preserve"> </w:t>
      </w:r>
    </w:p>
    <w:p w:rsidR="00620C0F" w:rsidRDefault="00620C0F" w:rsidP="00620C0F">
      <w:pPr>
        <w:pStyle w:val="Default"/>
        <w:ind w:left="360"/>
        <w:jc w:val="both"/>
        <w:rPr>
          <w:rFonts w:asciiTheme="majorBidi" w:hAnsiTheme="majorBidi" w:cstheme="majorBidi"/>
          <w:rtl/>
        </w:rPr>
      </w:pPr>
    </w:p>
    <w:p w:rsidR="0036309D" w:rsidRPr="0036309D" w:rsidRDefault="004417B4" w:rsidP="0036309D">
      <w:pPr>
        <w:pStyle w:val="EndNoteBibliography"/>
        <w:bidi w:val="0"/>
        <w:spacing w:after="0"/>
        <w:rPr>
          <w:rtl/>
        </w:rPr>
      </w:pPr>
      <w:r>
        <w:rPr>
          <w:rFonts w:asciiTheme="majorBidi" w:hAnsiTheme="majorBidi" w:cstheme="majorBidi"/>
          <w:sz w:val="24"/>
          <w:szCs w:val="24"/>
          <w:rtl/>
        </w:rPr>
        <w:fldChar w:fldCharType="begin"/>
      </w:r>
      <w:r>
        <w:rPr>
          <w:rFonts w:asciiTheme="majorBidi" w:hAnsiTheme="majorBidi" w:cstheme="majorBidi"/>
          <w:sz w:val="24"/>
          <w:szCs w:val="24"/>
          <w:rtl/>
        </w:rPr>
        <w:instrText xml:space="preserve"> </w:instrText>
      </w:r>
      <w:r>
        <w:rPr>
          <w:rFonts w:asciiTheme="majorBidi" w:hAnsiTheme="majorBidi" w:cstheme="majorBidi"/>
          <w:sz w:val="24"/>
          <w:szCs w:val="24"/>
        </w:rPr>
        <w:instrText>ADDIN EN.REFLIST</w:instrText>
      </w:r>
      <w:r>
        <w:rPr>
          <w:rFonts w:asciiTheme="majorBidi" w:hAnsiTheme="majorBidi" w:cstheme="majorBidi"/>
          <w:sz w:val="24"/>
          <w:szCs w:val="24"/>
          <w:rtl/>
        </w:rPr>
        <w:instrText xml:space="preserve"> </w:instrText>
      </w:r>
      <w:r>
        <w:rPr>
          <w:rFonts w:asciiTheme="majorBidi" w:hAnsiTheme="majorBidi" w:cstheme="majorBidi"/>
          <w:sz w:val="24"/>
          <w:szCs w:val="24"/>
          <w:rtl/>
        </w:rPr>
        <w:fldChar w:fldCharType="separate"/>
      </w:r>
      <w:r w:rsidR="0036309D" w:rsidRPr="0036309D">
        <w:t xml:space="preserve">Abdulla, Z. (2015). "Characterization and Classification of Soils and Land Use Suitability in Some Selected Areas from Iraqi Kurdistan Region." </w:t>
      </w:r>
      <w:r w:rsidR="0036309D" w:rsidRPr="0036309D">
        <w:rPr>
          <w:u w:val="single"/>
        </w:rPr>
        <w:t>University of Sulaimani</w:t>
      </w:r>
      <w:r w:rsidR="0036309D" w:rsidRPr="0036309D">
        <w:rPr>
          <w:rtl/>
        </w:rPr>
        <w:t>.</w:t>
      </w:r>
    </w:p>
    <w:p w:rsidR="0036309D" w:rsidRPr="0036309D" w:rsidRDefault="0036309D" w:rsidP="0036309D">
      <w:pPr>
        <w:pStyle w:val="EndNoteBibliography"/>
        <w:bidi w:val="0"/>
        <w:spacing w:after="0"/>
        <w:rPr>
          <w:rtl/>
        </w:rPr>
      </w:pPr>
      <w:r w:rsidRPr="0036309D">
        <w:t xml:space="preserve">Antoniadis, V. and B. Alloway (2001). "Availability of Cd, Ni and Zn to ryegrass in sewage sludge-treated soils at different temperatures." </w:t>
      </w:r>
      <w:r w:rsidRPr="0036309D">
        <w:rPr>
          <w:u w:val="single"/>
        </w:rPr>
        <w:t>Water, Air, and Soil Pollution</w:t>
      </w:r>
      <w:r w:rsidRPr="0036309D">
        <w:t xml:space="preserve"> </w:t>
      </w:r>
      <w:r w:rsidRPr="0036309D">
        <w:rPr>
          <w:b/>
        </w:rPr>
        <w:t>132</w:t>
      </w:r>
      <w:r w:rsidRPr="0036309D">
        <w:t>: 201-214</w:t>
      </w:r>
      <w:r w:rsidRPr="0036309D">
        <w:rPr>
          <w:rtl/>
        </w:rPr>
        <w:t>.</w:t>
      </w:r>
    </w:p>
    <w:p w:rsidR="0036309D" w:rsidRPr="0036309D" w:rsidRDefault="0036309D" w:rsidP="0036309D">
      <w:pPr>
        <w:pStyle w:val="EndNoteBibliography"/>
        <w:bidi w:val="0"/>
        <w:spacing w:after="0"/>
        <w:rPr>
          <w:rtl/>
        </w:rPr>
      </w:pPr>
      <w:r w:rsidRPr="0036309D">
        <w:t xml:space="preserve">Barna, G., A. Makó, T. Takács, K. Skic, A. Füzy and Á. Horel (2020). "Biochar alters soil physical characteristics, arbuscular mycorrhizal fungi colonization, and glomalin production." </w:t>
      </w:r>
      <w:r w:rsidRPr="0036309D">
        <w:rPr>
          <w:u w:val="single"/>
        </w:rPr>
        <w:t>Agronomy</w:t>
      </w:r>
      <w:r w:rsidRPr="0036309D">
        <w:t xml:space="preserve"> </w:t>
      </w:r>
      <w:r w:rsidRPr="0036309D">
        <w:rPr>
          <w:b/>
        </w:rPr>
        <w:t>10</w:t>
      </w:r>
      <w:r w:rsidRPr="0036309D">
        <w:t>(12): 1933</w:t>
      </w:r>
      <w:r w:rsidRPr="0036309D">
        <w:rPr>
          <w:rtl/>
        </w:rPr>
        <w:t>.</w:t>
      </w:r>
    </w:p>
    <w:p w:rsidR="0036309D" w:rsidRPr="0036309D" w:rsidRDefault="0036309D" w:rsidP="0036309D">
      <w:pPr>
        <w:pStyle w:val="EndNoteBibliography"/>
        <w:bidi w:val="0"/>
        <w:spacing w:after="0"/>
        <w:rPr>
          <w:rtl/>
        </w:rPr>
      </w:pPr>
      <w:r w:rsidRPr="0036309D">
        <w:t xml:space="preserve">Black, C. (1965). "Methods of soil analysis agronomy no. 9. Part 2 Amer. Soc." </w:t>
      </w:r>
      <w:r w:rsidRPr="0036309D">
        <w:rPr>
          <w:u w:val="single"/>
        </w:rPr>
        <w:t>Agronomy, Madison Wisconsin</w:t>
      </w:r>
      <w:r w:rsidRPr="0036309D">
        <w:rPr>
          <w:rtl/>
        </w:rPr>
        <w:t>.</w:t>
      </w:r>
    </w:p>
    <w:p w:rsidR="0036309D" w:rsidRPr="0036309D" w:rsidRDefault="0036309D" w:rsidP="0036309D">
      <w:pPr>
        <w:pStyle w:val="EndNoteBibliography"/>
        <w:bidi w:val="0"/>
        <w:spacing w:after="0"/>
        <w:rPr>
          <w:rtl/>
        </w:rPr>
      </w:pPr>
      <w:r w:rsidRPr="0036309D">
        <w:t xml:space="preserve">Chan, K., L. Van Zwieten, I. Meszaros, A. Downie and S. Joseph (2008). "Using poultry litter biochars as soil amendments." </w:t>
      </w:r>
      <w:r w:rsidRPr="0036309D">
        <w:rPr>
          <w:u w:val="single"/>
        </w:rPr>
        <w:t>Soil Research</w:t>
      </w:r>
      <w:r w:rsidRPr="0036309D">
        <w:t xml:space="preserve"> </w:t>
      </w:r>
      <w:r w:rsidRPr="0036309D">
        <w:rPr>
          <w:b/>
        </w:rPr>
        <w:t>46</w:t>
      </w:r>
      <w:r w:rsidRPr="0036309D">
        <w:t>(5): 437-444</w:t>
      </w:r>
      <w:r w:rsidRPr="0036309D">
        <w:rPr>
          <w:rtl/>
        </w:rPr>
        <w:t>.</w:t>
      </w:r>
    </w:p>
    <w:p w:rsidR="0036309D" w:rsidRPr="0036309D" w:rsidRDefault="0036309D" w:rsidP="0036309D">
      <w:pPr>
        <w:pStyle w:val="EndNoteBibliography"/>
        <w:bidi w:val="0"/>
        <w:spacing w:after="0"/>
        <w:rPr>
          <w:rtl/>
        </w:rPr>
      </w:pPr>
      <w:r w:rsidRPr="0036309D">
        <w:t xml:space="preserve">Esmail, A. O. (2012). "Effect of Soil Phosphorus Chemical Equilibrium on P-availability for Wheat using Solubility Diagram and (DRIS-Chart) Methods." </w:t>
      </w:r>
      <w:r w:rsidRPr="0036309D">
        <w:rPr>
          <w:u w:val="single"/>
        </w:rPr>
        <w:t>Journal of Kirkuk University for Agricultural Sciences Vol</w:t>
      </w:r>
      <w:r w:rsidRPr="0036309D">
        <w:t xml:space="preserve"> </w:t>
      </w:r>
      <w:r w:rsidRPr="0036309D">
        <w:rPr>
          <w:b/>
        </w:rPr>
        <w:t>3</w:t>
      </w:r>
      <w:r w:rsidRPr="0036309D">
        <w:rPr>
          <w:rtl/>
        </w:rPr>
        <w:t>(2).</w:t>
      </w:r>
    </w:p>
    <w:p w:rsidR="0036309D" w:rsidRPr="0036309D" w:rsidRDefault="0036309D" w:rsidP="0036309D">
      <w:pPr>
        <w:pStyle w:val="EndNoteBibliography"/>
        <w:bidi w:val="0"/>
        <w:spacing w:after="0"/>
        <w:rPr>
          <w:rtl/>
        </w:rPr>
      </w:pPr>
      <w:r w:rsidRPr="0036309D">
        <w:t xml:space="preserve">Javid, S. and D. Rowell (2002). "A laboratory study of the effect of time and temperature on the decline in Olsen P following phosphate addition to calcareous soils." </w:t>
      </w:r>
      <w:r w:rsidRPr="0036309D">
        <w:rPr>
          <w:u w:val="single"/>
        </w:rPr>
        <w:t>Soil Use and Management</w:t>
      </w:r>
      <w:r w:rsidRPr="0036309D">
        <w:t xml:space="preserve"> </w:t>
      </w:r>
      <w:r w:rsidRPr="0036309D">
        <w:rPr>
          <w:b/>
        </w:rPr>
        <w:t>18</w:t>
      </w:r>
      <w:r w:rsidRPr="0036309D">
        <w:t>(2): 127-134</w:t>
      </w:r>
      <w:r w:rsidRPr="0036309D">
        <w:rPr>
          <w:rtl/>
        </w:rPr>
        <w:t>.</w:t>
      </w:r>
    </w:p>
    <w:p w:rsidR="0036309D" w:rsidRPr="0036309D" w:rsidRDefault="0036309D" w:rsidP="0036309D">
      <w:pPr>
        <w:pStyle w:val="EndNoteBibliography"/>
        <w:bidi w:val="0"/>
        <w:spacing w:after="0"/>
        <w:rPr>
          <w:rtl/>
        </w:rPr>
      </w:pPr>
      <w:r w:rsidRPr="0036309D">
        <w:t>Lindsay, W. L. and W. Norvell</w:t>
      </w:r>
      <w:r w:rsidRPr="0036309D">
        <w:rPr>
          <w:rtl/>
        </w:rPr>
        <w:t xml:space="preserve"> (1978). "</w:t>
      </w:r>
      <w:r w:rsidRPr="0036309D">
        <w:t xml:space="preserve">Development of a DTPA soil test for zinc, iron, manganese, and copper." </w:t>
      </w:r>
      <w:r w:rsidRPr="0036309D">
        <w:rPr>
          <w:u w:val="single"/>
        </w:rPr>
        <w:t>Soil science society of America journal</w:t>
      </w:r>
      <w:r w:rsidRPr="0036309D">
        <w:t xml:space="preserve"> </w:t>
      </w:r>
      <w:r w:rsidRPr="0036309D">
        <w:rPr>
          <w:b/>
        </w:rPr>
        <w:t>42</w:t>
      </w:r>
      <w:r w:rsidRPr="0036309D">
        <w:t>(3): 421-428</w:t>
      </w:r>
      <w:r w:rsidRPr="0036309D">
        <w:rPr>
          <w:rtl/>
        </w:rPr>
        <w:t>.</w:t>
      </w:r>
    </w:p>
    <w:p w:rsidR="0036309D" w:rsidRPr="0036309D" w:rsidRDefault="0036309D" w:rsidP="0036309D">
      <w:pPr>
        <w:pStyle w:val="EndNoteBibliography"/>
        <w:bidi w:val="0"/>
        <w:spacing w:after="0"/>
        <w:rPr>
          <w:rtl/>
        </w:rPr>
      </w:pPr>
      <w:r w:rsidRPr="0036309D">
        <w:t xml:space="preserve">Loeppert, R. H. and D. L. Suarez (1996). "Carbonate and gypsum." </w:t>
      </w:r>
      <w:r w:rsidRPr="0036309D">
        <w:rPr>
          <w:u w:val="single"/>
        </w:rPr>
        <w:t>Methods of soil analysis: Part 3 chemical methods</w:t>
      </w:r>
      <w:r w:rsidRPr="0036309D">
        <w:t xml:space="preserve"> </w:t>
      </w:r>
      <w:r w:rsidRPr="0036309D">
        <w:rPr>
          <w:b/>
        </w:rPr>
        <w:t>5</w:t>
      </w:r>
      <w:r w:rsidRPr="0036309D">
        <w:rPr>
          <w:rtl/>
        </w:rPr>
        <w:t>: 437-474.</w:t>
      </w:r>
    </w:p>
    <w:p w:rsidR="0036309D" w:rsidRPr="0036309D" w:rsidRDefault="0036309D" w:rsidP="0036309D">
      <w:pPr>
        <w:pStyle w:val="EndNoteBibliography"/>
        <w:bidi w:val="0"/>
        <w:spacing w:after="0"/>
        <w:rPr>
          <w:rtl/>
        </w:rPr>
      </w:pPr>
      <w:r w:rsidRPr="0036309D">
        <w:t xml:space="preserve">Malik, Z., Z. Shah and M. Tariq (2019). "Biochar improves viability of Arbuscular Mycorrhizal Fungi (AMF) in soil and roots of wheat (Triticum aestivum) and maize (Zea mays L.) under various cropping systems." </w:t>
      </w:r>
      <w:r w:rsidRPr="0036309D">
        <w:rPr>
          <w:u w:val="single"/>
        </w:rPr>
        <w:t>Sarhad J. Agric</w:t>
      </w:r>
      <w:r w:rsidRPr="0036309D">
        <w:t xml:space="preserve"> </w:t>
      </w:r>
      <w:r w:rsidRPr="0036309D">
        <w:rPr>
          <w:b/>
        </w:rPr>
        <w:t>35</w:t>
      </w:r>
      <w:r w:rsidRPr="0036309D">
        <w:t>(3): 834-846</w:t>
      </w:r>
      <w:r w:rsidRPr="0036309D">
        <w:rPr>
          <w:rtl/>
        </w:rPr>
        <w:t>.</w:t>
      </w:r>
    </w:p>
    <w:p w:rsidR="0036309D" w:rsidRPr="0036309D" w:rsidRDefault="0036309D" w:rsidP="0036309D">
      <w:pPr>
        <w:pStyle w:val="EndNoteBibliography"/>
        <w:bidi w:val="0"/>
        <w:spacing w:after="0"/>
        <w:rPr>
          <w:rtl/>
        </w:rPr>
      </w:pPr>
      <w:r w:rsidRPr="0036309D">
        <w:t>Pal</w:t>
      </w:r>
      <w:r w:rsidRPr="0036309D">
        <w:rPr>
          <w:rtl/>
        </w:rPr>
        <w:t xml:space="preserve">, </w:t>
      </w:r>
      <w:r w:rsidRPr="0036309D">
        <w:t xml:space="preserve">A. and S. Pandey (2014). "Role of glomalin in improving soil fertility." </w:t>
      </w:r>
      <w:r w:rsidRPr="0036309D">
        <w:rPr>
          <w:u w:val="single"/>
        </w:rPr>
        <w:t>International journal of plant and soil science</w:t>
      </w:r>
      <w:r w:rsidRPr="0036309D">
        <w:t xml:space="preserve"> </w:t>
      </w:r>
      <w:r w:rsidRPr="0036309D">
        <w:rPr>
          <w:b/>
        </w:rPr>
        <w:t>3</w:t>
      </w:r>
      <w:r w:rsidRPr="0036309D">
        <w:t>: 112-129</w:t>
      </w:r>
      <w:r w:rsidRPr="0036309D">
        <w:rPr>
          <w:rtl/>
        </w:rPr>
        <w:t>.</w:t>
      </w:r>
    </w:p>
    <w:p w:rsidR="0036309D" w:rsidRPr="0036309D" w:rsidRDefault="0036309D" w:rsidP="0036309D">
      <w:pPr>
        <w:pStyle w:val="EndNoteBibliography"/>
        <w:bidi w:val="0"/>
        <w:spacing w:after="0"/>
        <w:rPr>
          <w:rtl/>
        </w:rPr>
      </w:pPr>
      <w:r w:rsidRPr="0036309D">
        <w:t xml:space="preserve">Rhoades, J. (1996). "Salinity: Electrical conductivity and total dissolved solids." </w:t>
      </w:r>
      <w:r w:rsidRPr="0036309D">
        <w:rPr>
          <w:u w:val="single"/>
        </w:rPr>
        <w:t>Methods of soil analysis: Part 3 Chemical methods</w:t>
      </w:r>
      <w:r w:rsidRPr="0036309D">
        <w:t xml:space="preserve"> </w:t>
      </w:r>
      <w:r w:rsidRPr="0036309D">
        <w:rPr>
          <w:b/>
        </w:rPr>
        <w:t>5</w:t>
      </w:r>
      <w:r w:rsidRPr="0036309D">
        <w:t>: 417-435</w:t>
      </w:r>
      <w:r w:rsidRPr="0036309D">
        <w:rPr>
          <w:rtl/>
        </w:rPr>
        <w:t>.</w:t>
      </w:r>
    </w:p>
    <w:p w:rsidR="0036309D" w:rsidRPr="0036309D" w:rsidRDefault="0036309D" w:rsidP="0036309D">
      <w:pPr>
        <w:pStyle w:val="EndNoteBibliography"/>
        <w:bidi w:val="0"/>
        <w:spacing w:after="0"/>
        <w:rPr>
          <w:rtl/>
        </w:rPr>
      </w:pPr>
      <w:r w:rsidRPr="0036309D">
        <w:t xml:space="preserve">Ryan, J., G. Estefan and A. Rashid (2001). </w:t>
      </w:r>
      <w:r w:rsidRPr="0036309D">
        <w:rPr>
          <w:u w:val="single"/>
        </w:rPr>
        <w:t>Soil and plant analysis laboratory manual</w:t>
      </w:r>
      <w:r w:rsidRPr="0036309D">
        <w:t>, ICARDA</w:t>
      </w:r>
      <w:r w:rsidRPr="0036309D">
        <w:rPr>
          <w:rtl/>
        </w:rPr>
        <w:t>.</w:t>
      </w:r>
    </w:p>
    <w:p w:rsidR="0036309D" w:rsidRPr="0036309D" w:rsidRDefault="0036309D" w:rsidP="0036309D">
      <w:pPr>
        <w:pStyle w:val="EndNoteBibliography"/>
        <w:bidi w:val="0"/>
        <w:spacing w:after="0"/>
        <w:rPr>
          <w:rtl/>
        </w:rPr>
      </w:pPr>
      <w:r w:rsidRPr="0036309D">
        <w:t xml:space="preserve">Sokolowska, Z., J. Jamroz and P. Banka (2008). "Apparent surface area of selected meal extrudes." </w:t>
      </w:r>
      <w:r w:rsidRPr="0036309D">
        <w:rPr>
          <w:u w:val="single"/>
        </w:rPr>
        <w:t>International agrophysics</w:t>
      </w:r>
      <w:r w:rsidRPr="0036309D">
        <w:t xml:space="preserve"> </w:t>
      </w:r>
      <w:r w:rsidRPr="0036309D">
        <w:rPr>
          <w:b/>
        </w:rPr>
        <w:t>22</w:t>
      </w:r>
      <w:r w:rsidRPr="0036309D">
        <w:t>(1): 75-80</w:t>
      </w:r>
      <w:r w:rsidRPr="0036309D">
        <w:rPr>
          <w:rtl/>
        </w:rPr>
        <w:t>.</w:t>
      </w:r>
    </w:p>
    <w:p w:rsidR="0036309D" w:rsidRPr="0036309D" w:rsidRDefault="0036309D" w:rsidP="0036309D">
      <w:pPr>
        <w:pStyle w:val="EndNoteBibliography"/>
        <w:bidi w:val="0"/>
        <w:spacing w:after="0"/>
        <w:rPr>
          <w:rtl/>
        </w:rPr>
      </w:pPr>
      <w:r w:rsidRPr="0036309D">
        <w:t xml:space="preserve">Solaiman, Z. M., P. Blackwell, L. K. Abbott and P. Storer (2010). "Direct and residual effect of biochar application on mycorrhizal root colonisation, growth and nutrition of wheat." </w:t>
      </w:r>
      <w:r w:rsidRPr="0036309D">
        <w:rPr>
          <w:u w:val="single"/>
        </w:rPr>
        <w:t>Soil Research</w:t>
      </w:r>
      <w:r w:rsidRPr="0036309D">
        <w:t xml:space="preserve"> </w:t>
      </w:r>
      <w:r w:rsidRPr="0036309D">
        <w:rPr>
          <w:b/>
        </w:rPr>
        <w:t>48</w:t>
      </w:r>
      <w:r w:rsidRPr="0036309D">
        <w:t>(7): 546-554</w:t>
      </w:r>
      <w:r w:rsidRPr="0036309D">
        <w:rPr>
          <w:rtl/>
        </w:rPr>
        <w:t>.</w:t>
      </w:r>
    </w:p>
    <w:p w:rsidR="0036309D" w:rsidRPr="0036309D" w:rsidRDefault="0036309D" w:rsidP="0036309D">
      <w:pPr>
        <w:pStyle w:val="EndNoteBibliography"/>
        <w:bidi w:val="0"/>
        <w:spacing w:after="0"/>
        <w:rPr>
          <w:rtl/>
        </w:rPr>
      </w:pPr>
      <w:r w:rsidRPr="0036309D">
        <w:lastRenderedPageBreak/>
        <w:t>Solaiman, Z. M., M. I. Shafi, E. Beamont</w:t>
      </w:r>
      <w:r w:rsidRPr="0036309D">
        <w:rPr>
          <w:rtl/>
        </w:rPr>
        <w:t xml:space="preserve"> </w:t>
      </w:r>
      <w:r w:rsidRPr="0036309D">
        <w:t xml:space="preserve">and H. M. Anawar (2020). "Poultry litter biochar increases mycorrhizal colonisation, soil fertility and cucumber yield in a fertigation system on sandy soil." </w:t>
      </w:r>
      <w:r w:rsidRPr="0036309D">
        <w:rPr>
          <w:u w:val="single"/>
        </w:rPr>
        <w:t>Agriculture</w:t>
      </w:r>
      <w:r w:rsidRPr="0036309D">
        <w:t xml:space="preserve"> </w:t>
      </w:r>
      <w:r w:rsidRPr="0036309D">
        <w:rPr>
          <w:b/>
        </w:rPr>
        <w:t>10</w:t>
      </w:r>
      <w:r w:rsidRPr="0036309D">
        <w:t>(10): 480</w:t>
      </w:r>
      <w:r w:rsidRPr="0036309D">
        <w:rPr>
          <w:rtl/>
        </w:rPr>
        <w:t>.</w:t>
      </w:r>
    </w:p>
    <w:p w:rsidR="0036309D" w:rsidRPr="0036309D" w:rsidRDefault="0036309D" w:rsidP="0036309D">
      <w:pPr>
        <w:pStyle w:val="EndNoteBibliography"/>
        <w:bidi w:val="0"/>
        <w:spacing w:after="0"/>
        <w:rPr>
          <w:rtl/>
        </w:rPr>
      </w:pPr>
      <w:r w:rsidRPr="0036309D">
        <w:t xml:space="preserve">Tomczyk, A., Z. Sokołowska and P. Boguta (2020). "Biochar physicochemical properties: pyrolysis temperature and feedstock kind effects." </w:t>
      </w:r>
      <w:r w:rsidRPr="0036309D">
        <w:rPr>
          <w:u w:val="single"/>
        </w:rPr>
        <w:t>Reviews in Environmental Science and Bio/Technology</w:t>
      </w:r>
      <w:r w:rsidRPr="0036309D">
        <w:t xml:space="preserve"> </w:t>
      </w:r>
      <w:r w:rsidRPr="0036309D">
        <w:rPr>
          <w:b/>
        </w:rPr>
        <w:t>19</w:t>
      </w:r>
      <w:r w:rsidRPr="0036309D">
        <w:t>: 191-215</w:t>
      </w:r>
      <w:r w:rsidRPr="0036309D">
        <w:rPr>
          <w:rtl/>
        </w:rPr>
        <w:t>.</w:t>
      </w:r>
    </w:p>
    <w:p w:rsidR="0036309D" w:rsidRPr="0036309D" w:rsidRDefault="0036309D" w:rsidP="0036309D">
      <w:pPr>
        <w:pStyle w:val="EndNoteBibliography"/>
        <w:bidi w:val="0"/>
        <w:spacing w:after="0"/>
        <w:rPr>
          <w:rtl/>
        </w:rPr>
      </w:pPr>
      <w:r w:rsidRPr="0036309D">
        <w:t xml:space="preserve">Walkley, A. and I. A. Black (1934). "An examination of the Degtjareff method for determining soil organic matter, and a proposed modification of the chromic acid titration method." </w:t>
      </w:r>
      <w:r w:rsidRPr="0036309D">
        <w:rPr>
          <w:u w:val="single"/>
        </w:rPr>
        <w:t>Soil science</w:t>
      </w:r>
      <w:r w:rsidRPr="0036309D">
        <w:t xml:space="preserve"> </w:t>
      </w:r>
      <w:r w:rsidRPr="0036309D">
        <w:rPr>
          <w:b/>
        </w:rPr>
        <w:t>37</w:t>
      </w:r>
      <w:r w:rsidRPr="0036309D">
        <w:t>(1): 29-38</w:t>
      </w:r>
      <w:r w:rsidRPr="0036309D">
        <w:rPr>
          <w:rtl/>
        </w:rPr>
        <w:t>.</w:t>
      </w:r>
    </w:p>
    <w:p w:rsidR="0036309D" w:rsidRPr="0036309D" w:rsidRDefault="0036309D" w:rsidP="0036309D">
      <w:pPr>
        <w:pStyle w:val="EndNoteBibliography"/>
        <w:bidi w:val="0"/>
        <w:rPr>
          <w:rtl/>
        </w:rPr>
      </w:pPr>
      <w:r w:rsidRPr="0036309D">
        <w:t>Ye, S., G. Zeng, H. Wu, J. Liang, C. Zhang, J. Dai, W. Xiong, B. Song, S. Wu and J. Yu (2019). "The effects of activated biochar addition on remediation efficiency of co</w:t>
      </w:r>
      <w:r w:rsidRPr="0036309D">
        <w:rPr>
          <w:rtl/>
        </w:rPr>
        <w:t>-</w:t>
      </w:r>
      <w:r w:rsidRPr="0036309D">
        <w:t xml:space="preserve">composting with contaminated wetland soil." </w:t>
      </w:r>
      <w:r w:rsidRPr="0036309D">
        <w:rPr>
          <w:u w:val="single"/>
        </w:rPr>
        <w:t>Resources, Conservation and Recycling</w:t>
      </w:r>
      <w:r w:rsidRPr="0036309D">
        <w:t xml:space="preserve"> </w:t>
      </w:r>
      <w:r w:rsidRPr="0036309D">
        <w:rPr>
          <w:b/>
        </w:rPr>
        <w:t>140</w:t>
      </w:r>
      <w:r w:rsidRPr="0036309D">
        <w:t>: 278-285</w:t>
      </w:r>
      <w:r w:rsidRPr="0036309D">
        <w:rPr>
          <w:rtl/>
        </w:rPr>
        <w:t>.</w:t>
      </w:r>
    </w:p>
    <w:p w:rsidR="00C56F0B" w:rsidRPr="00E91717" w:rsidRDefault="004417B4" w:rsidP="0036309D">
      <w:pPr>
        <w:bidi w:val="0"/>
        <w:jc w:val="right"/>
        <w:rPr>
          <w:rFonts w:asciiTheme="majorBidi" w:hAnsiTheme="majorBidi" w:cstheme="majorBidi"/>
          <w:sz w:val="24"/>
          <w:szCs w:val="24"/>
        </w:rPr>
      </w:pPr>
      <w:r>
        <w:rPr>
          <w:rFonts w:asciiTheme="majorBidi" w:hAnsiTheme="majorBidi" w:cstheme="majorBidi"/>
          <w:sz w:val="24"/>
          <w:szCs w:val="24"/>
          <w:rtl/>
        </w:rPr>
        <w:fldChar w:fldCharType="end"/>
      </w:r>
    </w:p>
    <w:sectPr w:rsidR="00C56F0B" w:rsidRPr="00E917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0" w:rsidRDefault="001A12C0" w:rsidP="00A37CD0">
      <w:pPr>
        <w:spacing w:after="0" w:line="240" w:lineRule="auto"/>
      </w:pPr>
      <w:r>
        <w:separator/>
      </w:r>
    </w:p>
  </w:endnote>
  <w:endnote w:type="continuationSeparator" w:id="0">
    <w:p w:rsidR="001A12C0" w:rsidRDefault="001A12C0" w:rsidP="00A3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roman">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2" w:rsidRDefault="0067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6152013"/>
      <w:docPartObj>
        <w:docPartGallery w:val="Page Numbers (Bottom of Page)"/>
        <w:docPartUnique/>
      </w:docPartObj>
    </w:sdtPr>
    <w:sdtEndPr>
      <w:rPr>
        <w:noProof/>
      </w:rPr>
    </w:sdtEndPr>
    <w:sdtContent>
      <w:p w:rsidR="00671082" w:rsidRDefault="00671082">
        <w:pPr>
          <w:pStyle w:val="Footer"/>
          <w:jc w:val="center"/>
        </w:pPr>
        <w:r>
          <w:fldChar w:fldCharType="begin"/>
        </w:r>
        <w:r>
          <w:instrText xml:space="preserve"> PAGE   \* MERGEFORMAT </w:instrText>
        </w:r>
        <w:r>
          <w:fldChar w:fldCharType="separate"/>
        </w:r>
        <w:r w:rsidR="00676D77">
          <w:rPr>
            <w:noProof/>
            <w:rtl/>
          </w:rPr>
          <w:t>1</w:t>
        </w:r>
        <w:r>
          <w:rPr>
            <w:noProof/>
          </w:rPr>
          <w:fldChar w:fldCharType="end"/>
        </w:r>
      </w:p>
    </w:sdtContent>
  </w:sdt>
  <w:p w:rsidR="00671082" w:rsidRDefault="0067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2" w:rsidRDefault="0067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0" w:rsidRDefault="001A12C0" w:rsidP="00A37CD0">
      <w:pPr>
        <w:spacing w:after="0" w:line="240" w:lineRule="auto"/>
      </w:pPr>
      <w:r>
        <w:separator/>
      </w:r>
    </w:p>
  </w:footnote>
  <w:footnote w:type="continuationSeparator" w:id="0">
    <w:p w:rsidR="001A12C0" w:rsidRDefault="001A12C0" w:rsidP="00A3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2" w:rsidRDefault="0067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2" w:rsidRDefault="0067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2" w:rsidRDefault="00671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742E"/>
    <w:multiLevelType w:val="multilevel"/>
    <w:tmpl w:val="57D4CF36"/>
    <w:lvl w:ilvl="0">
      <w:start w:val="4"/>
      <w:numFmt w:val="decimal"/>
      <w:lvlText w:val="%1."/>
      <w:lvlJc w:val="left"/>
      <w:pPr>
        <w:ind w:left="435" w:hanging="435"/>
      </w:pPr>
      <w:rPr>
        <w:rFonts w:ascii="New roman" w:hAnsi="New roman" w:cstheme="minorBidi" w:hint="default"/>
        <w:color w:val="000000"/>
      </w:rPr>
    </w:lvl>
    <w:lvl w:ilvl="1">
      <w:start w:val="1"/>
      <w:numFmt w:val="decimal"/>
      <w:lvlText w:val="%1.%2-"/>
      <w:lvlJc w:val="left"/>
      <w:pPr>
        <w:ind w:left="1080" w:hanging="720"/>
      </w:pPr>
      <w:rPr>
        <w:rFonts w:ascii="New roman" w:hAnsi="New roman" w:cstheme="minorBidi" w:hint="default"/>
        <w:b/>
        <w:bCs/>
        <w:color w:val="000000"/>
      </w:rPr>
    </w:lvl>
    <w:lvl w:ilvl="2">
      <w:start w:val="1"/>
      <w:numFmt w:val="decimal"/>
      <w:lvlText w:val="%1.%2-%3."/>
      <w:lvlJc w:val="left"/>
      <w:pPr>
        <w:ind w:left="1440" w:hanging="720"/>
      </w:pPr>
      <w:rPr>
        <w:rFonts w:ascii="New roman" w:hAnsi="New roman" w:cstheme="minorBidi" w:hint="default"/>
        <w:color w:val="000000"/>
      </w:rPr>
    </w:lvl>
    <w:lvl w:ilvl="3">
      <w:start w:val="1"/>
      <w:numFmt w:val="decimal"/>
      <w:lvlText w:val="%1.%2-%3.%4."/>
      <w:lvlJc w:val="left"/>
      <w:pPr>
        <w:ind w:left="2160" w:hanging="1080"/>
      </w:pPr>
      <w:rPr>
        <w:rFonts w:ascii="New roman" w:hAnsi="New roman" w:cstheme="minorBidi" w:hint="default"/>
        <w:color w:val="000000"/>
      </w:rPr>
    </w:lvl>
    <w:lvl w:ilvl="4">
      <w:start w:val="1"/>
      <w:numFmt w:val="decimal"/>
      <w:lvlText w:val="%1.%2-%3.%4.%5."/>
      <w:lvlJc w:val="left"/>
      <w:pPr>
        <w:ind w:left="2520" w:hanging="1080"/>
      </w:pPr>
      <w:rPr>
        <w:rFonts w:ascii="New roman" w:hAnsi="New roman" w:cstheme="minorBidi" w:hint="default"/>
        <w:color w:val="000000"/>
      </w:rPr>
    </w:lvl>
    <w:lvl w:ilvl="5">
      <w:start w:val="1"/>
      <w:numFmt w:val="decimal"/>
      <w:lvlText w:val="%1.%2-%3.%4.%5.%6."/>
      <w:lvlJc w:val="left"/>
      <w:pPr>
        <w:ind w:left="3240" w:hanging="1440"/>
      </w:pPr>
      <w:rPr>
        <w:rFonts w:ascii="New roman" w:hAnsi="New roman" w:cstheme="minorBidi" w:hint="default"/>
        <w:color w:val="000000"/>
      </w:rPr>
    </w:lvl>
    <w:lvl w:ilvl="6">
      <w:start w:val="1"/>
      <w:numFmt w:val="decimal"/>
      <w:lvlText w:val="%1.%2-%3.%4.%5.%6.%7."/>
      <w:lvlJc w:val="left"/>
      <w:pPr>
        <w:ind w:left="3600" w:hanging="1440"/>
      </w:pPr>
      <w:rPr>
        <w:rFonts w:ascii="New roman" w:hAnsi="New roman" w:cstheme="minorBidi" w:hint="default"/>
        <w:color w:val="000000"/>
      </w:rPr>
    </w:lvl>
    <w:lvl w:ilvl="7">
      <w:start w:val="1"/>
      <w:numFmt w:val="decimal"/>
      <w:lvlText w:val="%1.%2-%3.%4.%5.%6.%7.%8."/>
      <w:lvlJc w:val="left"/>
      <w:pPr>
        <w:ind w:left="4320" w:hanging="1800"/>
      </w:pPr>
      <w:rPr>
        <w:rFonts w:ascii="New roman" w:hAnsi="New roman" w:cstheme="minorBidi" w:hint="default"/>
        <w:color w:val="000000"/>
      </w:rPr>
    </w:lvl>
    <w:lvl w:ilvl="8">
      <w:start w:val="1"/>
      <w:numFmt w:val="decimal"/>
      <w:lvlText w:val="%1.%2-%3.%4.%5.%6.%7.%8.%9."/>
      <w:lvlJc w:val="left"/>
      <w:pPr>
        <w:ind w:left="4680" w:hanging="1800"/>
      </w:pPr>
      <w:rPr>
        <w:rFonts w:ascii="New roman" w:hAnsi="New roman" w:cstheme="minorBidi" w:hint="default"/>
        <w:color w:val="000000"/>
      </w:rPr>
    </w:lvl>
  </w:abstractNum>
  <w:abstractNum w:abstractNumId="1">
    <w:nsid w:val="677B2402"/>
    <w:multiLevelType w:val="multilevel"/>
    <w:tmpl w:val="46AC81B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1337C"/>
    <w:rsid w:val="000249B7"/>
    <w:rsid w:val="000305A2"/>
    <w:rsid w:val="00092A3C"/>
    <w:rsid w:val="0011337C"/>
    <w:rsid w:val="00121FB7"/>
    <w:rsid w:val="001271A0"/>
    <w:rsid w:val="00141E34"/>
    <w:rsid w:val="00145CA7"/>
    <w:rsid w:val="00161AA2"/>
    <w:rsid w:val="00175427"/>
    <w:rsid w:val="00177FA3"/>
    <w:rsid w:val="00192F94"/>
    <w:rsid w:val="00195C91"/>
    <w:rsid w:val="001A12C0"/>
    <w:rsid w:val="001B53B3"/>
    <w:rsid w:val="001B71C9"/>
    <w:rsid w:val="00201551"/>
    <w:rsid w:val="00236A82"/>
    <w:rsid w:val="00237630"/>
    <w:rsid w:val="00254471"/>
    <w:rsid w:val="00257468"/>
    <w:rsid w:val="002642D4"/>
    <w:rsid w:val="002C4703"/>
    <w:rsid w:val="002E6AAB"/>
    <w:rsid w:val="002F0793"/>
    <w:rsid w:val="00313EDB"/>
    <w:rsid w:val="00317BB8"/>
    <w:rsid w:val="0032393B"/>
    <w:rsid w:val="00326A45"/>
    <w:rsid w:val="00342D09"/>
    <w:rsid w:val="00356AE6"/>
    <w:rsid w:val="0036309D"/>
    <w:rsid w:val="00383F21"/>
    <w:rsid w:val="003A2905"/>
    <w:rsid w:val="003E1651"/>
    <w:rsid w:val="004037CF"/>
    <w:rsid w:val="00407FF3"/>
    <w:rsid w:val="0042671E"/>
    <w:rsid w:val="004322E5"/>
    <w:rsid w:val="004417B4"/>
    <w:rsid w:val="00473BBD"/>
    <w:rsid w:val="00480C7B"/>
    <w:rsid w:val="004C05DB"/>
    <w:rsid w:val="004D7235"/>
    <w:rsid w:val="004E52A9"/>
    <w:rsid w:val="00500105"/>
    <w:rsid w:val="00507BF8"/>
    <w:rsid w:val="00515EEF"/>
    <w:rsid w:val="00521F3A"/>
    <w:rsid w:val="00551478"/>
    <w:rsid w:val="00591406"/>
    <w:rsid w:val="005C3572"/>
    <w:rsid w:val="005F3A30"/>
    <w:rsid w:val="005F758C"/>
    <w:rsid w:val="00620C0F"/>
    <w:rsid w:val="006225CB"/>
    <w:rsid w:val="00646239"/>
    <w:rsid w:val="00670026"/>
    <w:rsid w:val="00671082"/>
    <w:rsid w:val="00676D77"/>
    <w:rsid w:val="006A382D"/>
    <w:rsid w:val="006B355F"/>
    <w:rsid w:val="006B603F"/>
    <w:rsid w:val="006E1B4F"/>
    <w:rsid w:val="00703FA0"/>
    <w:rsid w:val="00742F87"/>
    <w:rsid w:val="0075371C"/>
    <w:rsid w:val="0075713C"/>
    <w:rsid w:val="007643BF"/>
    <w:rsid w:val="00767BB7"/>
    <w:rsid w:val="00786B50"/>
    <w:rsid w:val="00797754"/>
    <w:rsid w:val="007B0B72"/>
    <w:rsid w:val="007D7686"/>
    <w:rsid w:val="007F0B42"/>
    <w:rsid w:val="0081175D"/>
    <w:rsid w:val="00822C3D"/>
    <w:rsid w:val="0082567C"/>
    <w:rsid w:val="00834C42"/>
    <w:rsid w:val="00850791"/>
    <w:rsid w:val="00853903"/>
    <w:rsid w:val="008A3EF6"/>
    <w:rsid w:val="008B7E0C"/>
    <w:rsid w:val="008D4AA2"/>
    <w:rsid w:val="008E2BD4"/>
    <w:rsid w:val="008E76E6"/>
    <w:rsid w:val="00914EB4"/>
    <w:rsid w:val="0092337C"/>
    <w:rsid w:val="00951CA8"/>
    <w:rsid w:val="00961CAB"/>
    <w:rsid w:val="00962A40"/>
    <w:rsid w:val="00976CB1"/>
    <w:rsid w:val="0099575A"/>
    <w:rsid w:val="009E444A"/>
    <w:rsid w:val="009E5472"/>
    <w:rsid w:val="009E793C"/>
    <w:rsid w:val="00A04B2B"/>
    <w:rsid w:val="00A37CD0"/>
    <w:rsid w:val="00AA2573"/>
    <w:rsid w:val="00AA6FDD"/>
    <w:rsid w:val="00AA772A"/>
    <w:rsid w:val="00AC0C65"/>
    <w:rsid w:val="00AC5996"/>
    <w:rsid w:val="00AD082F"/>
    <w:rsid w:val="00B1111B"/>
    <w:rsid w:val="00B22301"/>
    <w:rsid w:val="00B54AFF"/>
    <w:rsid w:val="00B8492D"/>
    <w:rsid w:val="00B8665A"/>
    <w:rsid w:val="00BA3A77"/>
    <w:rsid w:val="00BB3349"/>
    <w:rsid w:val="00BE0537"/>
    <w:rsid w:val="00BE0884"/>
    <w:rsid w:val="00C143B1"/>
    <w:rsid w:val="00C56F0B"/>
    <w:rsid w:val="00CA7EE2"/>
    <w:rsid w:val="00CC1604"/>
    <w:rsid w:val="00CC3263"/>
    <w:rsid w:val="00CD4D84"/>
    <w:rsid w:val="00D24723"/>
    <w:rsid w:val="00D260A8"/>
    <w:rsid w:val="00D327BD"/>
    <w:rsid w:val="00D53C8D"/>
    <w:rsid w:val="00DC6DD6"/>
    <w:rsid w:val="00DD1E97"/>
    <w:rsid w:val="00DD5089"/>
    <w:rsid w:val="00E239EC"/>
    <w:rsid w:val="00E26E13"/>
    <w:rsid w:val="00E421D8"/>
    <w:rsid w:val="00E4370C"/>
    <w:rsid w:val="00E44D18"/>
    <w:rsid w:val="00E50D49"/>
    <w:rsid w:val="00E81704"/>
    <w:rsid w:val="00E87095"/>
    <w:rsid w:val="00E91717"/>
    <w:rsid w:val="00EA5421"/>
    <w:rsid w:val="00ED63C3"/>
    <w:rsid w:val="00F01068"/>
    <w:rsid w:val="00F01D84"/>
    <w:rsid w:val="00F0563C"/>
    <w:rsid w:val="00F145F3"/>
    <w:rsid w:val="00F33637"/>
    <w:rsid w:val="00F50C1D"/>
    <w:rsid w:val="00F66631"/>
    <w:rsid w:val="00F867BF"/>
    <w:rsid w:val="00F9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0B"/>
  </w:style>
  <w:style w:type="table" w:styleId="TableGrid">
    <w:name w:val="Table Grid"/>
    <w:basedOn w:val="TableNormal"/>
    <w:uiPriority w:val="59"/>
    <w:rsid w:val="00C56F0B"/>
    <w:pPr>
      <w:spacing w:after="0" w:line="240" w:lineRule="auto"/>
      <w:jc w:val="center"/>
    </w:pPr>
    <w:rPr>
      <w:rFonts w:asciiTheme="majorBidi" w:hAnsi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rPr>
    </w:tblStylePr>
  </w:style>
  <w:style w:type="paragraph" w:styleId="BalloonText">
    <w:name w:val="Balloon Text"/>
    <w:basedOn w:val="Normal"/>
    <w:link w:val="BalloonTextChar"/>
    <w:uiPriority w:val="99"/>
    <w:semiHidden/>
    <w:unhideWhenUsed/>
    <w:rsid w:val="00C5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0B"/>
    <w:rPr>
      <w:rFonts w:ascii="Tahoma" w:hAnsi="Tahoma" w:cs="Tahoma"/>
      <w:sz w:val="16"/>
      <w:szCs w:val="16"/>
    </w:rPr>
  </w:style>
  <w:style w:type="paragraph" w:styleId="Header">
    <w:name w:val="header"/>
    <w:basedOn w:val="Normal"/>
    <w:link w:val="HeaderChar"/>
    <w:uiPriority w:val="99"/>
    <w:unhideWhenUsed/>
    <w:rsid w:val="00A3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CD0"/>
  </w:style>
  <w:style w:type="paragraph" w:customStyle="1" w:styleId="EndNoteBibliographyTitle">
    <w:name w:val="EndNote Bibliography Title"/>
    <w:basedOn w:val="Normal"/>
    <w:link w:val="EndNoteBibliographyTitleChar"/>
    <w:rsid w:val="002F07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F0793"/>
    <w:rPr>
      <w:rFonts w:ascii="Calibri" w:hAnsi="Calibri" w:cs="Calibri"/>
      <w:noProof/>
    </w:rPr>
  </w:style>
  <w:style w:type="paragraph" w:customStyle="1" w:styleId="EndNoteBibliography">
    <w:name w:val="EndNote Bibliography"/>
    <w:basedOn w:val="Normal"/>
    <w:link w:val="EndNoteBibliographyChar"/>
    <w:rsid w:val="002F079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F0793"/>
    <w:rPr>
      <w:rFonts w:ascii="Calibri" w:hAnsi="Calibri" w:cs="Calibri"/>
      <w:noProof/>
    </w:rPr>
  </w:style>
  <w:style w:type="paragraph" w:customStyle="1" w:styleId="Default">
    <w:name w:val="Default"/>
    <w:rsid w:val="00F867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0B"/>
  </w:style>
  <w:style w:type="table" w:styleId="TableGrid">
    <w:name w:val="Table Grid"/>
    <w:basedOn w:val="TableNormal"/>
    <w:uiPriority w:val="59"/>
    <w:rsid w:val="00C56F0B"/>
    <w:pPr>
      <w:spacing w:after="0" w:line="240" w:lineRule="auto"/>
      <w:jc w:val="center"/>
    </w:pPr>
    <w:rPr>
      <w:rFonts w:asciiTheme="majorBidi" w:hAnsi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rPr>
    </w:tblStylePr>
  </w:style>
  <w:style w:type="paragraph" w:styleId="BalloonText">
    <w:name w:val="Balloon Text"/>
    <w:basedOn w:val="Normal"/>
    <w:link w:val="BalloonTextChar"/>
    <w:uiPriority w:val="99"/>
    <w:semiHidden/>
    <w:unhideWhenUsed/>
    <w:rsid w:val="00C5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0B"/>
    <w:rPr>
      <w:rFonts w:ascii="Tahoma" w:hAnsi="Tahoma" w:cs="Tahoma"/>
      <w:sz w:val="16"/>
      <w:szCs w:val="16"/>
    </w:rPr>
  </w:style>
  <w:style w:type="paragraph" w:styleId="Header">
    <w:name w:val="header"/>
    <w:basedOn w:val="Normal"/>
    <w:link w:val="HeaderChar"/>
    <w:uiPriority w:val="99"/>
    <w:unhideWhenUsed/>
    <w:rsid w:val="00A3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CD0"/>
  </w:style>
  <w:style w:type="paragraph" w:customStyle="1" w:styleId="EndNoteBibliographyTitle">
    <w:name w:val="EndNote Bibliography Title"/>
    <w:basedOn w:val="Normal"/>
    <w:link w:val="EndNoteBibliographyTitleChar"/>
    <w:rsid w:val="002F07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F0793"/>
    <w:rPr>
      <w:rFonts w:ascii="Calibri" w:hAnsi="Calibri" w:cs="Calibri"/>
      <w:noProof/>
    </w:rPr>
  </w:style>
  <w:style w:type="paragraph" w:customStyle="1" w:styleId="EndNoteBibliography">
    <w:name w:val="EndNote Bibliography"/>
    <w:basedOn w:val="Normal"/>
    <w:link w:val="EndNoteBibliographyChar"/>
    <w:rsid w:val="002F079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F0793"/>
    <w:rPr>
      <w:rFonts w:ascii="Calibri" w:hAnsi="Calibri" w:cs="Calibri"/>
      <w:noProof/>
    </w:rPr>
  </w:style>
  <w:style w:type="paragraph" w:customStyle="1" w:styleId="Default">
    <w:name w:val="Default"/>
    <w:rsid w:val="00F867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F4DF-3AB7-4372-AD9C-22B19335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2023-02-25T17:27:00Z</dcterms:created>
  <dcterms:modified xsi:type="dcterms:W3CDTF">2023-05-12T14:10:00Z</dcterms:modified>
</cp:coreProperties>
</file>