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B97B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725FCE89" wp14:editId="608344CB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7175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2EEF842D" w14:textId="77777777"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F67C9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زماني عربي</w:t>
      </w:r>
    </w:p>
    <w:p w14:paraId="35AE70B0" w14:textId="77777777"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F67C9" w:rsidRPr="00BF67C9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ثةروةردةي</w:t>
      </w:r>
      <w:r w:rsidR="00BF67C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مخموور</w:t>
      </w:r>
    </w:p>
    <w:p w14:paraId="0025EE93" w14:textId="77777777"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F67C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صلاح الدين- </w:t>
      </w:r>
      <w:r w:rsidR="00BF67C9" w:rsidRPr="00BF67C9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هةوليَر</w:t>
      </w:r>
    </w:p>
    <w:p w14:paraId="4A3E40B0" w14:textId="77777777"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51447E20" w14:textId="77777777"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4BA75FDA" w14:textId="77777777" w:rsidR="003C0EC5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16D3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كوردستان خضر رسول</w:t>
      </w:r>
    </w:p>
    <w:p w14:paraId="6F14F9F2" w14:textId="6F2E9DF5" w:rsidR="003C0EC5" w:rsidRPr="00BD2C4A" w:rsidRDefault="00BD2C4A" w:rsidP="0063766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7A7954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B82796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7A7954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637669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</w:p>
    <w:p w14:paraId="12C5AB42" w14:textId="77777777"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447BDA5" w14:textId="77777777"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F434567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2CA2775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0587F55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1E19B2D4" w14:textId="77777777"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14:paraId="0900C98B" w14:textId="77777777" w:rsidTr="00E76A2B">
        <w:trPr>
          <w:jc w:val="center"/>
        </w:trPr>
        <w:tc>
          <w:tcPr>
            <w:tcW w:w="6204" w:type="dxa"/>
            <w:gridSpan w:val="2"/>
          </w:tcPr>
          <w:p w14:paraId="5AEE256A" w14:textId="77777777"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14:paraId="7D1E2866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645E9D27" w14:textId="77777777" w:rsidTr="00E76A2B">
        <w:trPr>
          <w:jc w:val="center"/>
        </w:trPr>
        <w:tc>
          <w:tcPr>
            <w:tcW w:w="6204" w:type="dxa"/>
            <w:gridSpan w:val="2"/>
          </w:tcPr>
          <w:p w14:paraId="7E408FF7" w14:textId="77777777" w:rsidR="008D46A4" w:rsidRPr="00BD2C4A" w:rsidRDefault="00716D3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كوردستان خضر رسول</w:t>
            </w:r>
          </w:p>
        </w:tc>
        <w:tc>
          <w:tcPr>
            <w:tcW w:w="2889" w:type="dxa"/>
          </w:tcPr>
          <w:p w14:paraId="0DDFF8F6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07766831" w14:textId="77777777" w:rsidTr="00E76A2B">
        <w:trPr>
          <w:jc w:val="center"/>
        </w:trPr>
        <w:tc>
          <w:tcPr>
            <w:tcW w:w="6204" w:type="dxa"/>
            <w:gridSpan w:val="2"/>
          </w:tcPr>
          <w:p w14:paraId="1CBFCC51" w14:textId="77777777" w:rsidR="008D46A4" w:rsidRPr="00BD2C4A" w:rsidRDefault="00716D3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زماني عربي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  <w:t>–</w:t>
            </w:r>
            <w:r w:rsidRPr="00716D3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ثةروةردةي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مخموور</w:t>
            </w:r>
          </w:p>
        </w:tc>
        <w:tc>
          <w:tcPr>
            <w:tcW w:w="2889" w:type="dxa"/>
          </w:tcPr>
          <w:p w14:paraId="050E0F87" w14:textId="77777777"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14:paraId="6E852BCE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6487D17A" w14:textId="77777777" w:rsidR="00F049F0" w:rsidRPr="00107B19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D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kurdistan.rasul@su.edu.krd</w:t>
            </w:r>
          </w:p>
          <w:p w14:paraId="497C1F92" w14:textId="77777777"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D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07504838407</w:t>
            </w:r>
          </w:p>
        </w:tc>
        <w:tc>
          <w:tcPr>
            <w:tcW w:w="2889" w:type="dxa"/>
          </w:tcPr>
          <w:p w14:paraId="39D3ED3F" w14:textId="77777777"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12414F20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240D4B5" w14:textId="77777777" w:rsidTr="00E76A2B">
        <w:trPr>
          <w:jc w:val="center"/>
        </w:trPr>
        <w:tc>
          <w:tcPr>
            <w:tcW w:w="6204" w:type="dxa"/>
            <w:gridSpan w:val="2"/>
          </w:tcPr>
          <w:p w14:paraId="05EE6BFC" w14:textId="77777777"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14:paraId="26B156A0" w14:textId="77777777"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14:paraId="7C54F4D0" w14:textId="77777777"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1A4181B4" w14:textId="77777777" w:rsidTr="00E76A2B">
        <w:trPr>
          <w:jc w:val="center"/>
        </w:trPr>
        <w:tc>
          <w:tcPr>
            <w:tcW w:w="6204" w:type="dxa"/>
            <w:gridSpan w:val="2"/>
          </w:tcPr>
          <w:p w14:paraId="6C2D1B69" w14:textId="77777777"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16D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دوو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14:paraId="19818E6C" w14:textId="77777777"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14:paraId="118A5F7D" w14:textId="77777777" w:rsidTr="00E76A2B">
        <w:trPr>
          <w:jc w:val="center"/>
        </w:trPr>
        <w:tc>
          <w:tcPr>
            <w:tcW w:w="6204" w:type="dxa"/>
            <w:gridSpan w:val="2"/>
          </w:tcPr>
          <w:p w14:paraId="5E19A045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182654A8" w14:textId="77777777"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5E93C48D" w14:textId="77777777" w:rsidTr="00E76A2B">
        <w:trPr>
          <w:jc w:val="center"/>
        </w:trPr>
        <w:tc>
          <w:tcPr>
            <w:tcW w:w="6204" w:type="dxa"/>
            <w:gridSpan w:val="2"/>
          </w:tcPr>
          <w:p w14:paraId="047E0991" w14:textId="77777777"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7241BA44" w14:textId="77777777"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5B62987B" w14:textId="77777777" w:rsidTr="00E76A2B">
        <w:trPr>
          <w:jc w:val="center"/>
        </w:trPr>
        <w:tc>
          <w:tcPr>
            <w:tcW w:w="6204" w:type="dxa"/>
            <w:gridSpan w:val="2"/>
          </w:tcPr>
          <w:p w14:paraId="65E84D2E" w14:textId="77777777"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1BE5D67F" w14:textId="77777777"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4165EEB2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7080986C" w14:textId="77777777"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0645D1A" w14:textId="77777777"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14:paraId="75545747" w14:textId="77777777"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14:paraId="3FA53EC5" w14:textId="77777777"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14:paraId="11A88894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7E83086A" w14:textId="77777777"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3E6BDFA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14:paraId="4612CFD9" w14:textId="77777777"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14:paraId="5ABCA23B" w14:textId="77777777"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14:paraId="0818E391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098C52C3" w14:textId="77777777"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674FB0C5" w14:textId="77777777"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14:paraId="773D5CAA" w14:textId="77777777"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14:paraId="08D04CD0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3DDEE441" w14:textId="77777777"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2AE75C65" w14:textId="77777777"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14:paraId="17B59B3C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3A1F6AEE" w14:textId="77777777"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6255FC1C" w14:textId="77777777"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14:paraId="52A3FEDC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2D111734" w14:textId="77777777"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03B3E78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lastRenderedPageBreak/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27C60461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72A2CB03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6A5320C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121C974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6DE37E37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4B6DE982" w14:textId="77777777"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14:paraId="4C5450D1" w14:textId="77777777" w:rsidTr="00E76A2B">
        <w:trPr>
          <w:jc w:val="center"/>
        </w:trPr>
        <w:tc>
          <w:tcPr>
            <w:tcW w:w="9093" w:type="dxa"/>
            <w:gridSpan w:val="3"/>
          </w:tcPr>
          <w:p w14:paraId="78752791" w14:textId="77777777"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17BEA39" w14:textId="77777777"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49D572FC" w14:textId="77777777"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14:paraId="1CA90511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8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14:paraId="1B3416A6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14:paraId="38559DFF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14:paraId="479B023F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0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14:paraId="20B21716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14:paraId="6B2C658E" w14:textId="77777777" w:rsidR="007752C8" w:rsidRDefault="00F26109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2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14:paraId="2140EC21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52AF650F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14:paraId="2DC4DDB2" w14:textId="77777777"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14:paraId="7479C90E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7F2324A7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14:paraId="02422391" w14:textId="77777777" w:rsidR="00B96E01" w:rsidRPr="00F67804" w:rsidRDefault="00F26109" w:rsidP="00B96E01">
            <w:pPr>
              <w:rPr>
                <w:rFonts w:ascii="Arial" w:hAnsi="Arial" w:cs="Unikurd Hejar"/>
                <w:szCs w:val="28"/>
              </w:rPr>
            </w:pPr>
            <w:hyperlink r:id="rId13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14:paraId="3E5B1FC2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14:paraId="48DE2427" w14:textId="77777777" w:rsidR="00B96E01" w:rsidRPr="00F67804" w:rsidRDefault="00F26109" w:rsidP="00B96E01">
            <w:pPr>
              <w:rPr>
                <w:rFonts w:ascii="Arial" w:hAnsi="Arial" w:cs="Unikurd Hejar"/>
                <w:szCs w:val="28"/>
              </w:rPr>
            </w:pP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14:paraId="0D1DD260" w14:textId="77777777" w:rsidR="00B96E01" w:rsidRPr="00F67804" w:rsidRDefault="00F26109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14:paraId="4C1C570F" w14:textId="77777777" w:rsidR="00B96E01" w:rsidRPr="00F67804" w:rsidRDefault="00F26109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14:paraId="7644BE67" w14:textId="77777777" w:rsidR="00B96E01" w:rsidRPr="00F67804" w:rsidRDefault="00F26109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14:paraId="46495B18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9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14:paraId="0738944B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Tosney, K. and Liegel, L. (2013) </w:t>
            </w:r>
            <w:hyperlink r:id="rId20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1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14:paraId="209DBC4B" w14:textId="77777777"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eastAsiaTheme="minorHAnsi" w:hAnsi="Arial" w:cs="Unikurd Hejar"/>
                <w:szCs w:val="28"/>
              </w:rPr>
              <w:t>Purrington,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2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14:paraId="5E4D41D1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54E2CE15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14:paraId="1C08EFB2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McGrow-Hill.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14:paraId="1DE04101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14:paraId="3F2A85D3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14:paraId="5D5CCDE9" w14:textId="77777777"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14:paraId="73F82355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59AD2E5A" w14:textId="77777777"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3D81706" w14:textId="77777777"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14:paraId="1060C247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1707223" w14:textId="77777777"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1D75EB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یەكەم/- پیاداچوونەوەیەک بە سیلەبەس (پرۆگرامی خوێندن)</w:t>
            </w:r>
          </w:p>
          <w:p w14:paraId="5E5A511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14:paraId="49E52CA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باسێکی گشتی سەبارەت بە توانستەکانی گفتوگۆ </w:t>
            </w:r>
          </w:p>
          <w:p w14:paraId="77EDF77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دووەم/- ڕێکخستنی گروپەکان</w:t>
            </w:r>
          </w:p>
          <w:p w14:paraId="7F3AE43E" w14:textId="77777777" w:rsidR="008E7D10" w:rsidRPr="009D7B83" w:rsidRDefault="008E7D10" w:rsidP="009D7B83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هونەری </w:t>
            </w:r>
            <w:r w:rsidR="009D7B83">
              <w:rPr>
                <w:rFonts w:ascii="Unikurd Hejar" w:hAnsi="Unikurd Hejar" w:cs="Unikurd Hejar" w:hint="cs"/>
                <w:sz w:val="24"/>
                <w:szCs w:val="24"/>
                <w:rtl/>
              </w:rPr>
              <w:t>دیبەیت كردن</w:t>
            </w:r>
          </w:p>
          <w:p w14:paraId="11532D4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14:paraId="3EFC3E3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14:paraId="6DEC1D9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1637567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 w14:paraId="63FCC06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14:paraId="726E6A4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14:paraId="10F0732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14:paraId="737F342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هەفتەیەی پێنجەم/- تواناکانی توێژینەوە</w:t>
            </w:r>
          </w:p>
          <w:p w14:paraId="7201905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14:paraId="410B4C5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14:paraId="697BC33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14:paraId="4BFD4EF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14:paraId="4FCABA0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تواناکانی توێژینەوە</w:t>
            </w:r>
          </w:p>
          <w:p w14:paraId="2F4FCB7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14:paraId="233DE9D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14:paraId="1941249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ڕەشنوسی ڕاپۆرت یاخود وتار ٢٠٠٠-٣٠٠٠ وشە</w:t>
            </w:r>
          </w:p>
          <w:p w14:paraId="73249661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14:paraId="5DAA00E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14:paraId="5DF236F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بە کۆتاگەیاندنی ڕاپۆرت/وتار</w:t>
            </w:r>
          </w:p>
          <w:p w14:paraId="3033D51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ڕاگەییشتن(أتصال) وپێشکەشکردن(پرێزەنتەیشن) </w:t>
            </w:r>
          </w:p>
          <w:p w14:paraId="4F83672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شارەزایی لە بەرنامەی پاوەرپۆینت </w:t>
            </w:r>
          </w:p>
          <w:p w14:paraId="7F19A7D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14:paraId="164917C3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14:paraId="0D2144E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ئاکارەکانی ڕاگەییشتن(أتصال)/ بیروڕای جیاواز</w:t>
            </w:r>
          </w:p>
          <w:p w14:paraId="505DC43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14:paraId="383E1BF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- رێکخستنەوەی گروپەکان</w:t>
            </w:r>
          </w:p>
          <w:p w14:paraId="41C3E1B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14:paraId="12B6330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72D019F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14:paraId="3481CA3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14:paraId="7237689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14:paraId="52B41CB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14:paraId="62BE19E7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14:paraId="31F49E11" w14:textId="77777777" w:rsidR="00001B33" w:rsidRPr="008E7D10" w:rsidRDefault="008E7D10" w:rsidP="008E7D10">
            <w:pPr>
              <w:bidi/>
              <w:rPr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</w:t>
            </w:r>
            <w:bookmarkStart w:id="0" w:name="_GoBack"/>
            <w:bookmarkEnd w:id="0"/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ان لەسەر ئاستی زانکۆ</w:t>
            </w:r>
          </w:p>
        </w:tc>
      </w:tr>
      <w:tr w:rsidR="008D46A4" w:rsidRPr="00BD2C4A" w14:paraId="71FF9D64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6B09D7EF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73ADEA3A" w14:textId="77777777"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0A2A3A99" w14:textId="77777777" w:rsidTr="00E76A2B">
        <w:trPr>
          <w:jc w:val="center"/>
        </w:trPr>
        <w:tc>
          <w:tcPr>
            <w:tcW w:w="2518" w:type="dxa"/>
          </w:tcPr>
          <w:p w14:paraId="7645FBF0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75DF14B4" w14:textId="77777777"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651C5AD0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1116C724" w14:textId="77777777"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31E27577" w14:textId="77777777"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57C11159" w14:textId="77777777"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24C3693D" w14:textId="77777777"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77A8FDD5" w14:textId="77777777"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91EC8D2" w14:textId="77777777"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1D0ADE42" w14:textId="77777777"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4FD45C5" w14:textId="77777777"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436A6E75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521E0C02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0BD4D560" w14:textId="77777777"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F0A885B" w14:textId="77777777"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14:paraId="58D82F4A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65BF99CB" w14:textId="77777777"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027BDE43" w14:textId="77777777"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650A57D3" w14:textId="77777777"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789B2177" w14:textId="77777777"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3"/>
      <w:footerReference w:type="default" r:id="rId24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DD51" w14:textId="77777777" w:rsidR="00F26109" w:rsidRDefault="00F26109" w:rsidP="00483DD0">
      <w:pPr>
        <w:spacing w:after="0" w:line="240" w:lineRule="auto"/>
      </w:pPr>
      <w:r>
        <w:separator/>
      </w:r>
    </w:p>
  </w:endnote>
  <w:endnote w:type="continuationSeparator" w:id="0">
    <w:p w14:paraId="08FCAA7C" w14:textId="77777777" w:rsidR="00F26109" w:rsidRDefault="00F2610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Arial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E722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812C" w14:textId="77777777" w:rsidR="00F26109" w:rsidRDefault="00F26109" w:rsidP="00483DD0">
      <w:pPr>
        <w:spacing w:after="0" w:line="240" w:lineRule="auto"/>
      </w:pPr>
      <w:r>
        <w:separator/>
      </w:r>
    </w:p>
  </w:footnote>
  <w:footnote w:type="continuationSeparator" w:id="0">
    <w:p w14:paraId="097EC054" w14:textId="77777777" w:rsidR="00F26109" w:rsidRDefault="00F2610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2B6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53341"/>
    <w:rsid w:val="001647A7"/>
    <w:rsid w:val="0017478B"/>
    <w:rsid w:val="00194301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20B6"/>
    <w:rsid w:val="005F71F8"/>
    <w:rsid w:val="00600351"/>
    <w:rsid w:val="00604957"/>
    <w:rsid w:val="00616D0F"/>
    <w:rsid w:val="006222E6"/>
    <w:rsid w:val="00634F2B"/>
    <w:rsid w:val="00637669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16D36"/>
    <w:rsid w:val="00736AA8"/>
    <w:rsid w:val="00741D0F"/>
    <w:rsid w:val="00756BE1"/>
    <w:rsid w:val="00762579"/>
    <w:rsid w:val="007752C8"/>
    <w:rsid w:val="007A645C"/>
    <w:rsid w:val="007A7954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56A93"/>
    <w:rsid w:val="00AA3FE4"/>
    <w:rsid w:val="00AC6E81"/>
    <w:rsid w:val="00AD68F9"/>
    <w:rsid w:val="00B1455D"/>
    <w:rsid w:val="00B341B9"/>
    <w:rsid w:val="00B45135"/>
    <w:rsid w:val="00B45D60"/>
    <w:rsid w:val="00B7560C"/>
    <w:rsid w:val="00B82796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BF67C9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56540"/>
    <w:rsid w:val="00E60065"/>
    <w:rsid w:val="00E61AD2"/>
    <w:rsid w:val="00E65229"/>
    <w:rsid w:val="00E7282F"/>
    <w:rsid w:val="00E76A2B"/>
    <w:rsid w:val="00E873BC"/>
    <w:rsid w:val="00E95307"/>
    <w:rsid w:val="00ED3387"/>
    <w:rsid w:val="00ED3CE9"/>
    <w:rsid w:val="00EE60FC"/>
    <w:rsid w:val="00EF1A47"/>
    <w:rsid w:val="00F049F0"/>
    <w:rsid w:val="00F26109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9F97FE"/>
  <w15:docId w15:val="{200CB6E3-6106-44B3-993B-F43ADA6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u.edu.au/edserv/undegrad/clc/content/resources.htm" TargetMode="External"/><Relationship Id="rId13" Type="http://schemas.openxmlformats.org/officeDocument/2006/relationships/hyperlink" Target="https://designschool.canva.com/blog/author/karen/" TargetMode="External"/><Relationship Id="rId18" Type="http://schemas.openxmlformats.org/officeDocument/2006/relationships/hyperlink" Target="http://designshack.net/articles/inspiration/10-tips-for-perfect-poster-desig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ent.ac.uk/careers/sk/time.htm" TargetMode="External"/><Relationship Id="rId17" Type="http://schemas.openxmlformats.org/officeDocument/2006/relationships/hyperlink" Target="https://designschool.canva.com/blog/25-ways-to-design-an-awesome-poster-and-create-a-buzz-for-your-next-ev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va.com/design/DABj1ByY6Lc/EyNddA8jtY7n_CFHYf8DMw/edit" TargetMode="External"/><Relationship Id="rId20" Type="http://schemas.openxmlformats.org/officeDocument/2006/relationships/hyperlink" Target="https://www.ncsu.edu/project/poster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dl/free/0072996277/161503/summarizing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stermywall.com/index.php/g/event-flye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exercises/32/41" TargetMode="External"/><Relationship Id="rId19" Type="http://schemas.openxmlformats.org/officeDocument/2006/relationships/hyperlink" Target="https://connect.le.ac.uk/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harvard" TargetMode="External"/><Relationship Id="rId14" Type="http://schemas.openxmlformats.org/officeDocument/2006/relationships/hyperlink" Target="https://designschool.canva.com/blog/25-ways-to-design-an-awesome-poster-and-create-a-buzz-for-your-next-event/" TargetMode="External"/><Relationship Id="rId22" Type="http://schemas.openxmlformats.org/officeDocument/2006/relationships/hyperlink" Target="http://colinpurrington.com/tips/poste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Kurdistan</cp:lastModifiedBy>
  <cp:revision>5</cp:revision>
  <cp:lastPrinted>2016-05-12T19:56:00Z</cp:lastPrinted>
  <dcterms:created xsi:type="dcterms:W3CDTF">2021-05-02T11:16:00Z</dcterms:created>
  <dcterms:modified xsi:type="dcterms:W3CDTF">2023-04-25T08:54:00Z</dcterms:modified>
</cp:coreProperties>
</file>