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B7CF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51C3D784" wp14:editId="612FBA2B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3E5012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F92B482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A239D45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335522D4" w14:textId="77777777" w:rsidR="003801BB" w:rsidRDefault="003801BB" w:rsidP="003A3FB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</w:t>
      </w:r>
      <w:r w:rsidR="003A3FBD">
        <w:rPr>
          <w:b/>
          <w:bCs/>
          <w:sz w:val="44"/>
          <w:szCs w:val="44"/>
          <w:lang w:bidi="ar-KW"/>
        </w:rPr>
        <w:t>Pharmacy</w:t>
      </w:r>
    </w:p>
    <w:p w14:paraId="6425F2C9" w14:textId="77777777" w:rsidR="003801BB" w:rsidRDefault="00A12879" w:rsidP="009A43AD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proofErr w:type="spellStart"/>
      <w:r>
        <w:rPr>
          <w:b/>
          <w:bCs/>
          <w:sz w:val="44"/>
          <w:szCs w:val="44"/>
          <w:lang w:bidi="ar-KW"/>
        </w:rPr>
        <w:t>Paitaxt</w:t>
      </w:r>
      <w:proofErr w:type="spellEnd"/>
      <w:r w:rsidR="00A4644E">
        <w:rPr>
          <w:b/>
          <w:bCs/>
          <w:sz w:val="44"/>
          <w:szCs w:val="44"/>
          <w:lang w:bidi="ar-KW"/>
        </w:rPr>
        <w:t xml:space="preserve"> Technical Institute </w:t>
      </w:r>
    </w:p>
    <w:p w14:paraId="1EDFE5B5" w14:textId="77777777" w:rsidR="003801BB" w:rsidRDefault="00D04160" w:rsidP="00A12879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Subject: </w:t>
      </w:r>
      <w:r w:rsidR="00164CB4">
        <w:rPr>
          <w:b/>
          <w:bCs/>
          <w:sz w:val="40"/>
          <w:szCs w:val="40"/>
          <w:lang w:bidi="ar-KW"/>
        </w:rPr>
        <w:t>Quality control</w:t>
      </w:r>
    </w:p>
    <w:p w14:paraId="0E7C1EAF" w14:textId="77777777" w:rsidR="003801BB" w:rsidRDefault="00D04160" w:rsidP="00A4644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164CB4">
        <w:rPr>
          <w:b/>
          <w:bCs/>
          <w:sz w:val="44"/>
          <w:szCs w:val="44"/>
          <w:lang w:bidi="ar-KW"/>
        </w:rPr>
        <w:t>2</w:t>
      </w:r>
      <w:r w:rsidR="00164CB4" w:rsidRPr="00164CB4">
        <w:rPr>
          <w:b/>
          <w:bCs/>
          <w:sz w:val="44"/>
          <w:szCs w:val="44"/>
          <w:vertAlign w:val="superscript"/>
          <w:lang w:bidi="ar-KW"/>
        </w:rPr>
        <w:t>nd</w:t>
      </w:r>
      <w:r w:rsidR="000C29A1">
        <w:rPr>
          <w:b/>
          <w:bCs/>
          <w:sz w:val="44"/>
          <w:szCs w:val="44"/>
          <w:lang w:bidi="ar-KW"/>
        </w:rPr>
        <w:t>year</w:t>
      </w:r>
      <w:r w:rsidR="00A4644E">
        <w:rPr>
          <w:b/>
          <w:bCs/>
          <w:sz w:val="44"/>
          <w:szCs w:val="44"/>
          <w:lang w:bidi="ar-KW"/>
        </w:rPr>
        <w:t xml:space="preserve"> student</w:t>
      </w:r>
    </w:p>
    <w:p w14:paraId="4AB1CF74" w14:textId="77777777" w:rsidR="0093085F" w:rsidRDefault="0093085F" w:rsidP="00A4644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2270719B" w14:textId="78C24023" w:rsidR="003801BB" w:rsidRDefault="00D04160" w:rsidP="00E81DE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E81DE6">
        <w:rPr>
          <w:b/>
          <w:bCs/>
          <w:sz w:val="44"/>
          <w:szCs w:val="44"/>
          <w:lang w:bidi="ar-KW"/>
        </w:rPr>
        <w:t>202</w:t>
      </w:r>
      <w:r w:rsidR="00ED3C56">
        <w:rPr>
          <w:b/>
          <w:bCs/>
          <w:sz w:val="44"/>
          <w:szCs w:val="44"/>
          <w:lang w:bidi="ar-KW"/>
        </w:rPr>
        <w:t>1</w:t>
      </w:r>
      <w:r>
        <w:rPr>
          <w:b/>
          <w:bCs/>
          <w:sz w:val="44"/>
          <w:szCs w:val="44"/>
          <w:lang w:bidi="ar-KW"/>
        </w:rPr>
        <w:t>/20</w:t>
      </w:r>
      <w:r w:rsidR="00DE2E9F">
        <w:rPr>
          <w:b/>
          <w:bCs/>
          <w:sz w:val="44"/>
          <w:szCs w:val="44"/>
          <w:lang w:bidi="ar-KW"/>
        </w:rPr>
        <w:t>2</w:t>
      </w:r>
      <w:r w:rsidR="00ED3C56">
        <w:rPr>
          <w:b/>
          <w:bCs/>
          <w:sz w:val="44"/>
          <w:szCs w:val="44"/>
          <w:lang w:bidi="ar-KW"/>
        </w:rPr>
        <w:t>2</w:t>
      </w:r>
    </w:p>
    <w:p w14:paraId="4EC30054" w14:textId="77777777" w:rsidR="00A4644E" w:rsidRDefault="00A4644E" w:rsidP="00A4644E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29F0791F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963759A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7A35888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0882D19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3371429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530D614E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14:paraId="64263C00" w14:textId="77777777" w:rsidTr="00CF5475">
        <w:tc>
          <w:tcPr>
            <w:tcW w:w="3085" w:type="dxa"/>
          </w:tcPr>
          <w:p w14:paraId="435AC334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14:paraId="0BFF81E1" w14:textId="77777777" w:rsidR="008D46A4" w:rsidRPr="002759E7" w:rsidRDefault="00164CB4" w:rsidP="00A4644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Quality control</w:t>
            </w:r>
          </w:p>
        </w:tc>
      </w:tr>
      <w:tr w:rsidR="008D46A4" w:rsidRPr="00747A9A" w14:paraId="33158BA0" w14:textId="77777777" w:rsidTr="00CF5475">
        <w:tc>
          <w:tcPr>
            <w:tcW w:w="3085" w:type="dxa"/>
          </w:tcPr>
          <w:p w14:paraId="29D8ACBC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14:paraId="78676EE0" w14:textId="77777777" w:rsidR="008D46A4" w:rsidRPr="002759E7" w:rsidRDefault="00E81DE6" w:rsidP="00DE2E9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Assist. Prof. </w:t>
            </w:r>
            <w:r w:rsidR="00DE2E9F">
              <w:rPr>
                <w:sz w:val="24"/>
                <w:szCs w:val="24"/>
                <w:lang w:bidi="ar-KW"/>
              </w:rPr>
              <w:t>Dr. Mazin A. Othman (theoretical) /Dr. Sangar A. Salih (practical)</w:t>
            </w:r>
          </w:p>
        </w:tc>
      </w:tr>
      <w:tr w:rsidR="008D46A4" w:rsidRPr="00747A9A" w14:paraId="76DFD654" w14:textId="77777777" w:rsidTr="00CF5475">
        <w:tc>
          <w:tcPr>
            <w:tcW w:w="3085" w:type="dxa"/>
          </w:tcPr>
          <w:p w14:paraId="5C9A4387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14:paraId="251D7A0C" w14:textId="77777777" w:rsidR="008D46A4" w:rsidRPr="002759E7" w:rsidRDefault="00A4644E" w:rsidP="009A47B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Pharmacy/ </w:t>
            </w:r>
            <w:proofErr w:type="spellStart"/>
            <w:r w:rsidR="009A47BF">
              <w:rPr>
                <w:sz w:val="24"/>
                <w:szCs w:val="24"/>
                <w:lang w:bidi="ar-KW"/>
              </w:rPr>
              <w:t>Paitaxt</w:t>
            </w:r>
            <w:proofErr w:type="spellEnd"/>
            <w:r>
              <w:rPr>
                <w:sz w:val="24"/>
                <w:szCs w:val="24"/>
                <w:lang w:bidi="ar-KW"/>
              </w:rPr>
              <w:t xml:space="preserve"> Institute</w:t>
            </w:r>
          </w:p>
        </w:tc>
      </w:tr>
      <w:tr w:rsidR="008D46A4" w:rsidRPr="00747A9A" w14:paraId="45C610B0" w14:textId="77777777" w:rsidTr="00CF5475">
        <w:trPr>
          <w:trHeight w:val="352"/>
        </w:trPr>
        <w:tc>
          <w:tcPr>
            <w:tcW w:w="3085" w:type="dxa"/>
          </w:tcPr>
          <w:p w14:paraId="042E48A9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14:paraId="7EA61D7C" w14:textId="77777777" w:rsidR="008D46A4" w:rsidRPr="002759E7" w:rsidRDefault="008D46A4" w:rsidP="008B507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7105F1EE" w14:textId="77777777" w:rsidTr="00CF5475">
        <w:tc>
          <w:tcPr>
            <w:tcW w:w="3085" w:type="dxa"/>
          </w:tcPr>
          <w:p w14:paraId="5A7B067A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14:paraId="3CB46EA8" w14:textId="77777777" w:rsidR="008D46A4" w:rsidRPr="002759E7" w:rsidRDefault="007C338C" w:rsidP="00A12879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2759E7">
              <w:rPr>
                <w:sz w:val="24"/>
                <w:szCs w:val="24"/>
                <w:lang w:bidi="ar-KW"/>
              </w:rPr>
              <w:t xml:space="preserve">   2 hours</w:t>
            </w:r>
            <w:r w:rsidR="000C29A1" w:rsidRPr="002759E7">
              <w:rPr>
                <w:sz w:val="24"/>
                <w:szCs w:val="24"/>
                <w:lang w:bidi="ar-KW"/>
              </w:rPr>
              <w:t xml:space="preserve"> theoretical   </w:t>
            </w:r>
            <w:r w:rsidR="00164CB4" w:rsidRPr="002759E7">
              <w:rPr>
                <w:sz w:val="24"/>
                <w:szCs w:val="24"/>
                <w:lang w:bidi="ar-KW"/>
              </w:rPr>
              <w:t>- 3</w:t>
            </w:r>
            <w:r w:rsidR="000C29A1" w:rsidRPr="002759E7">
              <w:rPr>
                <w:sz w:val="24"/>
                <w:szCs w:val="24"/>
                <w:lang w:bidi="ar-KW"/>
              </w:rPr>
              <w:t xml:space="preserve"> hours practical </w:t>
            </w:r>
          </w:p>
        </w:tc>
      </w:tr>
      <w:tr w:rsidR="008D46A4" w:rsidRPr="00747A9A" w14:paraId="3720A65A" w14:textId="77777777" w:rsidTr="00CF5475">
        <w:tc>
          <w:tcPr>
            <w:tcW w:w="3085" w:type="dxa"/>
          </w:tcPr>
          <w:p w14:paraId="0C1F1B92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14:paraId="207156EE" w14:textId="77777777" w:rsidR="008D46A4" w:rsidRPr="002759E7" w:rsidRDefault="007C338C" w:rsidP="007C338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2759E7">
              <w:rPr>
                <w:sz w:val="24"/>
                <w:szCs w:val="24"/>
                <w:lang w:bidi="ar-KW"/>
              </w:rPr>
              <w:t xml:space="preserve">   3 hours</w:t>
            </w:r>
          </w:p>
        </w:tc>
      </w:tr>
      <w:tr w:rsidR="008D46A4" w:rsidRPr="00747A9A" w14:paraId="74E35378" w14:textId="77777777" w:rsidTr="00CF5475">
        <w:tc>
          <w:tcPr>
            <w:tcW w:w="3085" w:type="dxa"/>
          </w:tcPr>
          <w:p w14:paraId="7A9AA5E1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14:paraId="19DAAB1E" w14:textId="77777777" w:rsidR="008D46A4" w:rsidRPr="002759E7" w:rsidRDefault="008D46A4" w:rsidP="00CF5475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24AF57E5" w14:textId="77777777" w:rsidTr="00CF5475">
        <w:tc>
          <w:tcPr>
            <w:tcW w:w="3085" w:type="dxa"/>
          </w:tcPr>
          <w:p w14:paraId="50061DED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14:paraId="15B6E657" w14:textId="77777777" w:rsidR="0057388F" w:rsidRPr="00E454D4" w:rsidRDefault="0057388F" w:rsidP="009308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rtl/>
              </w:rPr>
            </w:pPr>
          </w:p>
        </w:tc>
      </w:tr>
      <w:tr w:rsidR="008D46A4" w:rsidRPr="00747A9A" w14:paraId="128AADB0" w14:textId="77777777" w:rsidTr="00CF5475">
        <w:tc>
          <w:tcPr>
            <w:tcW w:w="3085" w:type="dxa"/>
          </w:tcPr>
          <w:p w14:paraId="75CBC02F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14:paraId="2498BCAB" w14:textId="77777777" w:rsidR="008D46A4" w:rsidRPr="004C1E9B" w:rsidRDefault="00164CB4" w:rsidP="00A128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Helvetica-Compressed"/>
                <w:sz w:val="24"/>
                <w:szCs w:val="24"/>
              </w:rPr>
            </w:pPr>
            <w:r>
              <w:rPr>
                <w:rFonts w:asciiTheme="minorHAnsi" w:hAnsiTheme="minorHAnsi" w:cs="Helvetica-Compressed"/>
                <w:sz w:val="24"/>
                <w:szCs w:val="24"/>
              </w:rPr>
              <w:t xml:space="preserve">Quality control, Identification, </w:t>
            </w:r>
            <w:r w:rsidR="002759E7">
              <w:rPr>
                <w:rFonts w:asciiTheme="minorHAnsi" w:hAnsiTheme="minorHAnsi" w:cs="Helvetica-Compressed"/>
                <w:sz w:val="24"/>
                <w:szCs w:val="24"/>
              </w:rPr>
              <w:t>separation</w:t>
            </w:r>
          </w:p>
        </w:tc>
      </w:tr>
      <w:tr w:rsidR="008D46A4" w:rsidRPr="00747A9A" w14:paraId="22B7C7C9" w14:textId="77777777" w:rsidTr="000144CC">
        <w:trPr>
          <w:trHeight w:val="1125"/>
        </w:trPr>
        <w:tc>
          <w:tcPr>
            <w:tcW w:w="9093" w:type="dxa"/>
            <w:gridSpan w:val="3"/>
          </w:tcPr>
          <w:p w14:paraId="6D35E9F0" w14:textId="77777777"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</w:p>
          <w:p w14:paraId="485C9472" w14:textId="77777777" w:rsidR="003D0466" w:rsidRPr="00EA1A05" w:rsidRDefault="00BC491D" w:rsidP="00A12879">
            <w:pPr>
              <w:spacing w:line="240" w:lineRule="auto"/>
              <w:jc w:val="both"/>
              <w:rPr>
                <w:color w:val="333333"/>
                <w:sz w:val="24"/>
                <w:szCs w:val="24"/>
                <w:rtl/>
              </w:rPr>
            </w:pPr>
            <w:r>
              <w:rPr>
                <w:color w:val="333333"/>
                <w:sz w:val="24"/>
                <w:szCs w:val="24"/>
              </w:rPr>
              <w:t xml:space="preserve">This course is intended to provide fundamentals of </w:t>
            </w:r>
            <w:r w:rsidR="00164CB4">
              <w:rPr>
                <w:color w:val="333333"/>
                <w:sz w:val="24"/>
                <w:szCs w:val="24"/>
              </w:rPr>
              <w:t xml:space="preserve">quality control </w:t>
            </w:r>
            <w:r w:rsidR="00E81DE6">
              <w:rPr>
                <w:color w:val="333333"/>
                <w:sz w:val="24"/>
                <w:szCs w:val="24"/>
              </w:rPr>
              <w:t>procedures. The</w:t>
            </w:r>
            <w:r w:rsidR="00DB49EF">
              <w:rPr>
                <w:color w:val="333333"/>
                <w:sz w:val="24"/>
                <w:szCs w:val="24"/>
              </w:rPr>
              <w:t xml:space="preserve"> first part of the course covers an introduction into </w:t>
            </w:r>
            <w:r w:rsidR="00164CB4">
              <w:rPr>
                <w:color w:val="333333"/>
                <w:sz w:val="24"/>
                <w:szCs w:val="24"/>
              </w:rPr>
              <w:t xml:space="preserve">quality control </w:t>
            </w:r>
            <w:r w:rsidR="00DB49EF">
              <w:rPr>
                <w:color w:val="333333"/>
                <w:sz w:val="24"/>
                <w:szCs w:val="24"/>
              </w:rPr>
              <w:t xml:space="preserve">and a short introduction into </w:t>
            </w:r>
            <w:r w:rsidR="00686FB2">
              <w:rPr>
                <w:color w:val="333333"/>
                <w:sz w:val="24"/>
                <w:szCs w:val="24"/>
              </w:rPr>
              <w:t xml:space="preserve">methods of </w:t>
            </w:r>
            <w:r w:rsidR="00164CB4">
              <w:rPr>
                <w:color w:val="333333"/>
                <w:sz w:val="24"/>
                <w:szCs w:val="24"/>
              </w:rPr>
              <w:t xml:space="preserve">quality control procedures, </w:t>
            </w:r>
            <w:r w:rsidR="00686FB2">
              <w:rPr>
                <w:color w:val="333333"/>
                <w:sz w:val="24"/>
                <w:szCs w:val="24"/>
              </w:rPr>
              <w:t xml:space="preserve">including </w:t>
            </w:r>
            <w:r w:rsidR="00164CB4">
              <w:rPr>
                <w:color w:val="333333"/>
                <w:sz w:val="24"/>
                <w:szCs w:val="24"/>
              </w:rPr>
              <w:t>qualitative tests</w:t>
            </w:r>
            <w:r w:rsidR="00DB49EF">
              <w:rPr>
                <w:color w:val="333333"/>
                <w:sz w:val="24"/>
                <w:szCs w:val="24"/>
              </w:rPr>
              <w:t>. The second part provid</w:t>
            </w:r>
            <w:r w:rsidR="00686FB2">
              <w:rPr>
                <w:color w:val="333333"/>
                <w:sz w:val="24"/>
                <w:szCs w:val="24"/>
              </w:rPr>
              <w:t>e</w:t>
            </w:r>
            <w:r w:rsidR="00164CB4">
              <w:rPr>
                <w:color w:val="333333"/>
                <w:sz w:val="24"/>
                <w:szCs w:val="24"/>
              </w:rPr>
              <w:t>s, mainly, quantitative measures</w:t>
            </w:r>
            <w:r w:rsidR="00DB49EF">
              <w:rPr>
                <w:color w:val="333333"/>
                <w:sz w:val="24"/>
                <w:szCs w:val="24"/>
              </w:rPr>
              <w:t xml:space="preserve">. </w:t>
            </w:r>
            <w:r w:rsidR="00164CB4">
              <w:rPr>
                <w:color w:val="333333"/>
                <w:sz w:val="24"/>
                <w:szCs w:val="24"/>
              </w:rPr>
              <w:t xml:space="preserve">By </w:t>
            </w:r>
            <w:r w:rsidR="00DB49EF">
              <w:rPr>
                <w:color w:val="333333"/>
                <w:sz w:val="24"/>
                <w:szCs w:val="24"/>
              </w:rPr>
              <w:t>the end of the course</w:t>
            </w:r>
            <w:r w:rsidR="00686FB2">
              <w:rPr>
                <w:color w:val="333333"/>
                <w:sz w:val="24"/>
                <w:szCs w:val="24"/>
              </w:rPr>
              <w:t xml:space="preserve">; the </w:t>
            </w:r>
            <w:r w:rsidR="00164CB4">
              <w:rPr>
                <w:color w:val="333333"/>
                <w:sz w:val="24"/>
                <w:szCs w:val="24"/>
              </w:rPr>
              <w:t>important procedures that are followed to assure the quality of pharmaceuticals wil</w:t>
            </w:r>
            <w:r w:rsidR="00DB49EF">
              <w:rPr>
                <w:color w:val="333333"/>
                <w:sz w:val="24"/>
                <w:szCs w:val="24"/>
              </w:rPr>
              <w:t>l be covered</w:t>
            </w:r>
            <w:r w:rsidR="00436391">
              <w:rPr>
                <w:color w:val="333333"/>
                <w:sz w:val="24"/>
                <w:szCs w:val="24"/>
              </w:rPr>
              <w:t>.</w:t>
            </w:r>
          </w:p>
        </w:tc>
      </w:tr>
      <w:tr w:rsidR="00FD437F" w:rsidRPr="00747A9A" w14:paraId="7DAF541D" w14:textId="77777777" w:rsidTr="00634F2B">
        <w:trPr>
          <w:trHeight w:val="850"/>
        </w:trPr>
        <w:tc>
          <w:tcPr>
            <w:tcW w:w="9093" w:type="dxa"/>
            <w:gridSpan w:val="3"/>
          </w:tcPr>
          <w:p w14:paraId="7F7832D9" w14:textId="77777777"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41439DF3" w14:textId="77777777" w:rsidR="002759E7" w:rsidRPr="00DD6858" w:rsidRDefault="002759E7" w:rsidP="002772AB">
            <w:pPr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 w:rsidRPr="00DD6858">
              <w:rPr>
                <w:sz w:val="24"/>
                <w:szCs w:val="24"/>
                <w:lang w:bidi="ar-KW"/>
              </w:rPr>
              <w:t xml:space="preserve">The goal of this course is to introduce principles of </w:t>
            </w:r>
            <w:r w:rsidR="00164CB4">
              <w:rPr>
                <w:sz w:val="24"/>
                <w:szCs w:val="24"/>
                <w:lang w:bidi="ar-KW"/>
              </w:rPr>
              <w:t xml:space="preserve">quality </w:t>
            </w:r>
            <w:proofErr w:type="spellStart"/>
            <w:r w:rsidR="00164CB4">
              <w:rPr>
                <w:sz w:val="24"/>
                <w:szCs w:val="24"/>
                <w:lang w:bidi="ar-KW"/>
              </w:rPr>
              <w:t>control</w:t>
            </w:r>
            <w:r w:rsidRPr="00DD6858">
              <w:rPr>
                <w:sz w:val="24"/>
                <w:szCs w:val="24"/>
                <w:lang w:bidi="ar-KW"/>
              </w:rPr>
              <w:t>with</w:t>
            </w:r>
            <w:proofErr w:type="spellEnd"/>
            <w:r w:rsidRPr="00DD6858">
              <w:rPr>
                <w:sz w:val="24"/>
                <w:szCs w:val="24"/>
                <w:lang w:bidi="ar-KW"/>
              </w:rPr>
              <w:t xml:space="preserve"> emphasis on the fundamental methods used for </w:t>
            </w:r>
            <w:r w:rsidR="00164CB4">
              <w:rPr>
                <w:color w:val="333333"/>
                <w:sz w:val="24"/>
                <w:szCs w:val="24"/>
              </w:rPr>
              <w:t>quality control to the students</w:t>
            </w:r>
            <w:r w:rsidRPr="00DD6858">
              <w:rPr>
                <w:sz w:val="24"/>
                <w:szCs w:val="24"/>
                <w:lang w:bidi="ar-KW"/>
              </w:rPr>
              <w:t xml:space="preserve">. The focus is on </w:t>
            </w:r>
            <w:r w:rsidR="002772AB">
              <w:rPr>
                <w:sz w:val="24"/>
                <w:szCs w:val="24"/>
                <w:lang w:bidi="ar-KW"/>
              </w:rPr>
              <w:t xml:space="preserve">four </w:t>
            </w:r>
            <w:r w:rsidRPr="00DD6858">
              <w:rPr>
                <w:sz w:val="24"/>
                <w:szCs w:val="24"/>
                <w:lang w:bidi="ar-KW"/>
              </w:rPr>
              <w:t xml:space="preserve">important aspects: </w:t>
            </w:r>
            <w:r w:rsidR="002772AB">
              <w:rPr>
                <w:sz w:val="24"/>
                <w:szCs w:val="24"/>
                <w:lang w:bidi="ar-KW"/>
              </w:rPr>
              <w:t>choosing sample, select the</w:t>
            </w:r>
            <w:r w:rsidRPr="00DD6858">
              <w:rPr>
                <w:sz w:val="24"/>
                <w:szCs w:val="24"/>
                <w:lang w:bidi="ar-KW"/>
              </w:rPr>
              <w:t xml:space="preserve"> experiments, </w:t>
            </w:r>
            <w:r w:rsidR="002772AB" w:rsidRPr="00DD6858">
              <w:rPr>
                <w:sz w:val="24"/>
                <w:szCs w:val="24"/>
                <w:lang w:bidi="ar-KW"/>
              </w:rPr>
              <w:t>analyse</w:t>
            </w:r>
            <w:r w:rsidRPr="00DD6858">
              <w:rPr>
                <w:sz w:val="24"/>
                <w:szCs w:val="24"/>
                <w:lang w:bidi="ar-KW"/>
              </w:rPr>
              <w:t xml:space="preserve"> data, and </w:t>
            </w:r>
            <w:r w:rsidR="002772AB">
              <w:rPr>
                <w:sz w:val="24"/>
                <w:szCs w:val="24"/>
                <w:lang w:bidi="ar-KW"/>
              </w:rPr>
              <w:t>making decision depending on the resulted data</w:t>
            </w:r>
            <w:r w:rsidRPr="00DD6858">
              <w:rPr>
                <w:sz w:val="24"/>
                <w:szCs w:val="24"/>
                <w:lang w:bidi="ar-KW"/>
              </w:rPr>
              <w:t>. The objectives of the course are</w:t>
            </w:r>
          </w:p>
          <w:p w14:paraId="5A0F5B80" w14:textId="77777777" w:rsidR="002772AB" w:rsidRPr="002772AB" w:rsidRDefault="002772AB" w:rsidP="002772AB">
            <w:pPr>
              <w:pStyle w:val="ListParagraph"/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1</w:t>
            </w:r>
            <w:r w:rsidRPr="002759E7">
              <w:rPr>
                <w:sz w:val="24"/>
                <w:szCs w:val="24"/>
                <w:lang w:bidi="ar-KW"/>
              </w:rPr>
              <w:t xml:space="preserve">. Learn </w:t>
            </w:r>
            <w:r>
              <w:rPr>
                <w:sz w:val="24"/>
                <w:szCs w:val="24"/>
                <w:lang w:bidi="ar-KW"/>
              </w:rPr>
              <w:t xml:space="preserve">the principles of </w:t>
            </w:r>
            <w:r>
              <w:rPr>
                <w:color w:val="333333"/>
                <w:sz w:val="24"/>
                <w:szCs w:val="24"/>
              </w:rPr>
              <w:t>quality control</w:t>
            </w:r>
            <w:r w:rsidRPr="002759E7">
              <w:rPr>
                <w:sz w:val="24"/>
                <w:szCs w:val="24"/>
                <w:lang w:bidi="ar-KW"/>
              </w:rPr>
              <w:t>.</w:t>
            </w:r>
          </w:p>
          <w:p w14:paraId="1A3630BE" w14:textId="77777777" w:rsidR="002759E7" w:rsidRPr="002759E7" w:rsidRDefault="002772AB" w:rsidP="002772AB">
            <w:pPr>
              <w:pStyle w:val="ListParagraph"/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>2</w:t>
            </w:r>
            <w:r w:rsidR="002759E7" w:rsidRPr="002759E7">
              <w:rPr>
                <w:sz w:val="24"/>
                <w:szCs w:val="24"/>
                <w:lang w:bidi="ar-KW"/>
              </w:rPr>
              <w:t xml:space="preserve">. Learn how to apply the </w:t>
            </w:r>
            <w:r>
              <w:rPr>
                <w:sz w:val="24"/>
                <w:szCs w:val="24"/>
                <w:lang w:bidi="ar-KW"/>
              </w:rPr>
              <w:t xml:space="preserve">qualitative (physical) tests </w:t>
            </w:r>
            <w:r w:rsidR="002759E7" w:rsidRPr="002759E7">
              <w:rPr>
                <w:sz w:val="24"/>
                <w:szCs w:val="24"/>
                <w:lang w:bidi="ar-KW"/>
              </w:rPr>
              <w:t>to answer scientific questions.</w:t>
            </w:r>
          </w:p>
          <w:p w14:paraId="2BF8AA70" w14:textId="77777777" w:rsidR="003D0466" w:rsidRPr="003D0466" w:rsidRDefault="002759E7" w:rsidP="002772AB">
            <w:pPr>
              <w:pStyle w:val="ListParagraph"/>
              <w:spacing w:after="0" w:line="240" w:lineRule="auto"/>
              <w:jc w:val="both"/>
              <w:rPr>
                <w:sz w:val="24"/>
                <w:szCs w:val="24"/>
                <w:lang w:bidi="ar-KW"/>
              </w:rPr>
            </w:pPr>
            <w:r w:rsidRPr="002759E7">
              <w:rPr>
                <w:sz w:val="24"/>
                <w:szCs w:val="24"/>
                <w:lang w:bidi="ar-KW"/>
              </w:rPr>
              <w:t xml:space="preserve">3. Understand the principles </w:t>
            </w:r>
            <w:r w:rsidR="002772AB">
              <w:rPr>
                <w:sz w:val="24"/>
                <w:szCs w:val="24"/>
                <w:lang w:bidi="ar-KW"/>
              </w:rPr>
              <w:t xml:space="preserve">of data analysis </w:t>
            </w:r>
            <w:r w:rsidRPr="002759E7">
              <w:rPr>
                <w:sz w:val="24"/>
                <w:szCs w:val="24"/>
                <w:lang w:bidi="ar-KW"/>
              </w:rPr>
              <w:t>and use of the</w:t>
            </w:r>
            <w:r w:rsidR="002772AB">
              <w:rPr>
                <w:sz w:val="24"/>
                <w:szCs w:val="24"/>
                <w:lang w:bidi="ar-KW"/>
              </w:rPr>
              <w:t xml:space="preserve"> classical </w:t>
            </w:r>
            <w:r w:rsidRPr="002759E7">
              <w:rPr>
                <w:sz w:val="24"/>
                <w:szCs w:val="24"/>
                <w:lang w:bidi="ar-KW"/>
              </w:rPr>
              <w:t>i</w:t>
            </w:r>
            <w:r w:rsidR="00DD6858">
              <w:rPr>
                <w:sz w:val="24"/>
                <w:szCs w:val="24"/>
                <w:lang w:bidi="ar-KW"/>
              </w:rPr>
              <w:t>nstruments</w:t>
            </w:r>
            <w:r w:rsidR="002772AB">
              <w:rPr>
                <w:sz w:val="24"/>
                <w:szCs w:val="24"/>
                <w:lang w:bidi="ar-KW"/>
              </w:rPr>
              <w:t xml:space="preserve"> available in the laboratory</w:t>
            </w:r>
            <w:r w:rsidR="00DD6858">
              <w:rPr>
                <w:sz w:val="24"/>
                <w:szCs w:val="24"/>
                <w:lang w:bidi="ar-KW"/>
              </w:rPr>
              <w:t>;</w:t>
            </w:r>
            <w:r w:rsidRPr="002759E7">
              <w:rPr>
                <w:sz w:val="24"/>
                <w:szCs w:val="24"/>
                <w:lang w:bidi="ar-KW"/>
              </w:rPr>
              <w:t xml:space="preserve"> from basic glassware to modern instruments</w:t>
            </w:r>
            <w:r w:rsidR="002772AB">
              <w:rPr>
                <w:sz w:val="24"/>
                <w:szCs w:val="24"/>
                <w:lang w:bidi="ar-KW"/>
              </w:rPr>
              <w:t xml:space="preserve"> when available</w:t>
            </w:r>
            <w:r w:rsidRPr="002759E7">
              <w:rPr>
                <w:sz w:val="24"/>
                <w:szCs w:val="24"/>
                <w:lang w:bidi="ar-KW"/>
              </w:rPr>
              <w:t>.</w:t>
            </w:r>
          </w:p>
        </w:tc>
      </w:tr>
      <w:tr w:rsidR="008D46A4" w:rsidRPr="00747A9A" w14:paraId="2E22EDB4" w14:textId="77777777" w:rsidTr="000144CC">
        <w:trPr>
          <w:trHeight w:val="704"/>
        </w:trPr>
        <w:tc>
          <w:tcPr>
            <w:tcW w:w="9093" w:type="dxa"/>
            <w:gridSpan w:val="3"/>
          </w:tcPr>
          <w:p w14:paraId="4A3ADD09" w14:textId="77777777"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4F3E8FE4" w14:textId="77777777" w:rsidR="00B916A8" w:rsidRPr="003D0466" w:rsidRDefault="003E0427" w:rsidP="003E0427">
            <w:pPr>
              <w:spacing w:after="0" w:line="240" w:lineRule="auto"/>
              <w:jc w:val="both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Students are obligated to be prepared </w:t>
            </w:r>
            <w:r w:rsidRPr="003E0427">
              <w:rPr>
                <w:sz w:val="24"/>
                <w:szCs w:val="24"/>
                <w:lang w:bidi="ar-KW"/>
              </w:rPr>
              <w:t xml:space="preserve">for each lecture by reading the relevant </w:t>
            </w:r>
            <w:r>
              <w:rPr>
                <w:sz w:val="24"/>
                <w:szCs w:val="24"/>
                <w:lang w:bidi="ar-KW"/>
              </w:rPr>
              <w:t>reading assignment</w:t>
            </w:r>
            <w:r w:rsidRPr="003E0427">
              <w:rPr>
                <w:sz w:val="24"/>
                <w:szCs w:val="24"/>
                <w:lang w:bidi="ar-KW"/>
              </w:rPr>
              <w:t xml:space="preserve"> before </w:t>
            </w:r>
            <w:proofErr w:type="gramStart"/>
            <w:r w:rsidRPr="003E0427">
              <w:rPr>
                <w:sz w:val="24"/>
                <w:szCs w:val="24"/>
                <w:lang w:bidi="ar-KW"/>
              </w:rPr>
              <w:t>class(</w:t>
            </w:r>
            <w:proofErr w:type="gramEnd"/>
            <w:r w:rsidRPr="003E0427">
              <w:rPr>
                <w:sz w:val="24"/>
                <w:szCs w:val="24"/>
                <w:lang w:bidi="ar-KW"/>
              </w:rPr>
              <w:t>see the lecture schedule)</w:t>
            </w:r>
            <w:r>
              <w:rPr>
                <w:sz w:val="24"/>
                <w:szCs w:val="24"/>
                <w:lang w:bidi="ar-KW"/>
              </w:rPr>
              <w:t>. Students should</w:t>
            </w:r>
            <w:r w:rsidRPr="003E0427">
              <w:rPr>
                <w:sz w:val="24"/>
                <w:szCs w:val="24"/>
                <w:lang w:bidi="ar-KW"/>
              </w:rPr>
              <w:t xml:space="preserve"> study the materials and work problems after each lecture as they are meant to reinforce your understanding of the lecture material. Work extra problems for each </w:t>
            </w:r>
            <w:r>
              <w:rPr>
                <w:sz w:val="24"/>
                <w:szCs w:val="24"/>
                <w:lang w:bidi="ar-KW"/>
              </w:rPr>
              <w:t>topic</w:t>
            </w:r>
            <w:r w:rsidRPr="003E0427">
              <w:rPr>
                <w:sz w:val="24"/>
                <w:szCs w:val="24"/>
                <w:lang w:bidi="ar-KW"/>
              </w:rPr>
              <w:t xml:space="preserve"> in addition to the assignments. The more problems you practice, the better you will understand the material.</w:t>
            </w:r>
          </w:p>
        </w:tc>
      </w:tr>
      <w:tr w:rsidR="008D46A4" w:rsidRPr="00747A9A" w14:paraId="7DA4FEF8" w14:textId="77777777" w:rsidTr="000144CC">
        <w:trPr>
          <w:trHeight w:val="704"/>
        </w:trPr>
        <w:tc>
          <w:tcPr>
            <w:tcW w:w="9093" w:type="dxa"/>
            <w:gridSpan w:val="3"/>
          </w:tcPr>
          <w:p w14:paraId="0D05DDFF" w14:textId="77777777" w:rsidR="008D46A4" w:rsidRPr="00634F2B" w:rsidRDefault="00CF5475" w:rsidP="009F3CA0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35223DAE" w14:textId="77777777" w:rsidR="007F0899" w:rsidRPr="006766CD" w:rsidRDefault="003A3FBD" w:rsidP="00686FB2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PowerPoint </w:t>
            </w:r>
            <w:r w:rsidR="00686FB2">
              <w:rPr>
                <w:sz w:val="24"/>
                <w:szCs w:val="24"/>
                <w:lang w:val="en-US" w:bidi="ar-KW"/>
              </w:rPr>
              <w:t>presentation</w:t>
            </w:r>
            <w:r>
              <w:rPr>
                <w:sz w:val="24"/>
                <w:szCs w:val="24"/>
                <w:lang w:val="en-US" w:bidi="ar-KW"/>
              </w:rPr>
              <w:t xml:space="preserve">, lecture notes, and </w:t>
            </w:r>
            <w:r w:rsidR="002759E7">
              <w:rPr>
                <w:sz w:val="24"/>
                <w:szCs w:val="24"/>
                <w:lang w:val="en-US" w:bidi="ar-KW"/>
              </w:rPr>
              <w:t>white board</w:t>
            </w:r>
            <w:r>
              <w:rPr>
                <w:sz w:val="24"/>
                <w:szCs w:val="24"/>
                <w:lang w:val="en-US" w:bidi="ar-KW"/>
              </w:rPr>
              <w:t>.</w:t>
            </w:r>
          </w:p>
        </w:tc>
      </w:tr>
      <w:tr w:rsidR="008D46A4" w:rsidRPr="00747A9A" w14:paraId="5BE83EAE" w14:textId="77777777" w:rsidTr="000144CC">
        <w:trPr>
          <w:trHeight w:val="704"/>
        </w:trPr>
        <w:tc>
          <w:tcPr>
            <w:tcW w:w="9093" w:type="dxa"/>
            <w:gridSpan w:val="3"/>
          </w:tcPr>
          <w:p w14:paraId="3DD66A3A" w14:textId="77777777"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65B60FE8" w14:textId="77777777" w:rsidR="00436391" w:rsidRPr="00436391" w:rsidRDefault="00D95444" w:rsidP="00D9544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</w:t>
            </w:r>
            <w:r w:rsidR="00436391">
              <w:rPr>
                <w:sz w:val="24"/>
                <w:szCs w:val="24"/>
              </w:rPr>
              <w:t xml:space="preserve"> exams during the course period: </w:t>
            </w:r>
            <w:r>
              <w:rPr>
                <w:sz w:val="24"/>
                <w:szCs w:val="24"/>
              </w:rPr>
              <w:t>20</w:t>
            </w:r>
            <w:r w:rsidR="00436391">
              <w:rPr>
                <w:sz w:val="24"/>
                <w:szCs w:val="24"/>
              </w:rPr>
              <w:t>%</w:t>
            </w:r>
          </w:p>
          <w:p w14:paraId="148D1325" w14:textId="77777777" w:rsidR="00436391" w:rsidRPr="00436391" w:rsidRDefault="00436391" w:rsidP="00436391">
            <w:pPr>
              <w:spacing w:after="0"/>
              <w:rPr>
                <w:sz w:val="24"/>
                <w:szCs w:val="24"/>
              </w:rPr>
            </w:pPr>
            <w:r w:rsidRPr="00436391">
              <w:rPr>
                <w:sz w:val="24"/>
                <w:szCs w:val="24"/>
              </w:rPr>
              <w:t>Quiz tests and homework:  5%</w:t>
            </w:r>
          </w:p>
          <w:p w14:paraId="03244072" w14:textId="77777777" w:rsidR="00436391" w:rsidRPr="00436391" w:rsidRDefault="00436391" w:rsidP="00436391">
            <w:pPr>
              <w:spacing w:after="0"/>
              <w:rPr>
                <w:sz w:val="24"/>
                <w:szCs w:val="24"/>
              </w:rPr>
            </w:pPr>
            <w:r w:rsidRPr="00436391">
              <w:rPr>
                <w:sz w:val="24"/>
                <w:szCs w:val="24"/>
              </w:rPr>
              <w:t>Practical Course 15%</w:t>
            </w:r>
          </w:p>
          <w:p w14:paraId="20C90C44" w14:textId="77777777" w:rsidR="000F2337" w:rsidRPr="00A8555D" w:rsidRDefault="00436391" w:rsidP="00A8555D">
            <w:pPr>
              <w:spacing w:after="0"/>
              <w:rPr>
                <w:sz w:val="24"/>
                <w:szCs w:val="24"/>
                <w:rtl/>
              </w:rPr>
            </w:pPr>
            <w:r w:rsidRPr="00436391">
              <w:rPr>
                <w:sz w:val="24"/>
                <w:szCs w:val="24"/>
              </w:rPr>
              <w:t xml:space="preserve">Final Exam: 60% </w:t>
            </w:r>
            <w:r>
              <w:rPr>
                <w:sz w:val="24"/>
                <w:szCs w:val="24"/>
              </w:rPr>
              <w:t>(</w:t>
            </w:r>
            <w:r w:rsidRPr="00436391">
              <w:rPr>
                <w:sz w:val="24"/>
                <w:szCs w:val="24"/>
              </w:rPr>
              <w:t>45% for theoretical and 15% for practical</w:t>
            </w:r>
            <w:r w:rsidR="00A8555D">
              <w:rPr>
                <w:sz w:val="24"/>
                <w:szCs w:val="24"/>
              </w:rPr>
              <w:t>)</w:t>
            </w:r>
          </w:p>
        </w:tc>
      </w:tr>
      <w:tr w:rsidR="008D46A4" w:rsidRPr="00747A9A" w14:paraId="04A2E5C5" w14:textId="77777777" w:rsidTr="000144CC">
        <w:trPr>
          <w:trHeight w:val="704"/>
        </w:trPr>
        <w:tc>
          <w:tcPr>
            <w:tcW w:w="9093" w:type="dxa"/>
            <w:gridSpan w:val="3"/>
          </w:tcPr>
          <w:p w14:paraId="77B98FF8" w14:textId="77777777"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14:paraId="24D5197A" w14:textId="77777777" w:rsidR="00A8555D" w:rsidRPr="00B3548F" w:rsidRDefault="00A8555D" w:rsidP="00A8555D">
            <w:pPr>
              <w:pStyle w:val="NormalWeb"/>
              <w:spacing w:after="0"/>
              <w:jc w:val="both"/>
              <w:rPr>
                <w:rFonts w:ascii="Calibri" w:hAnsi="Calibri" w:cs="Calibri"/>
              </w:rPr>
            </w:pPr>
            <w:r w:rsidRPr="00B3548F">
              <w:rPr>
                <w:rFonts w:ascii="Calibri" w:hAnsi="Calibri" w:cs="Calibri"/>
              </w:rPr>
              <w:t>On successful completion of the course</w:t>
            </w:r>
            <w:r w:rsidR="003A3FBD" w:rsidRPr="00B3548F">
              <w:rPr>
                <w:rFonts w:ascii="Calibri" w:hAnsi="Calibri" w:cs="Calibri"/>
              </w:rPr>
              <w:t>,</w:t>
            </w:r>
            <w:r w:rsidRPr="00B3548F">
              <w:rPr>
                <w:rFonts w:ascii="Calibri" w:hAnsi="Calibri" w:cs="Calibri"/>
              </w:rPr>
              <w:t xml:space="preserve"> students will be able:</w:t>
            </w:r>
          </w:p>
          <w:p w14:paraId="1E3F24E1" w14:textId="77777777" w:rsidR="00A8555D" w:rsidRPr="00B3548F" w:rsidRDefault="00A8555D" w:rsidP="00B3548F">
            <w:pPr>
              <w:pStyle w:val="NormalWeb"/>
              <w:numPr>
                <w:ilvl w:val="0"/>
                <w:numId w:val="19"/>
              </w:numPr>
              <w:spacing w:after="0"/>
              <w:jc w:val="both"/>
              <w:rPr>
                <w:rFonts w:ascii="Calibri" w:hAnsi="Calibri" w:cs="Calibri"/>
              </w:rPr>
            </w:pPr>
            <w:r w:rsidRPr="00B3548F">
              <w:rPr>
                <w:rFonts w:ascii="Calibri" w:hAnsi="Calibri" w:cs="Calibri"/>
              </w:rPr>
              <w:t>To develop expertise relevant to the professional practice of chemistry</w:t>
            </w:r>
            <w:r w:rsidR="00B458C3">
              <w:rPr>
                <w:rFonts w:ascii="Calibri" w:hAnsi="Calibri" w:cs="Calibri"/>
              </w:rPr>
              <w:t>.</w:t>
            </w:r>
          </w:p>
          <w:p w14:paraId="7776911E" w14:textId="77777777" w:rsidR="00A8555D" w:rsidRPr="00B3548F" w:rsidRDefault="00A8555D" w:rsidP="00B3548F">
            <w:pPr>
              <w:pStyle w:val="NormalWeb"/>
              <w:numPr>
                <w:ilvl w:val="0"/>
                <w:numId w:val="19"/>
              </w:numPr>
              <w:spacing w:after="0"/>
              <w:jc w:val="both"/>
              <w:rPr>
                <w:rFonts w:ascii="Calibri" w:hAnsi="Calibri" w:cs="Calibri"/>
              </w:rPr>
            </w:pPr>
            <w:r w:rsidRPr="00B3548F">
              <w:rPr>
                <w:rFonts w:ascii="Calibri" w:hAnsi="Calibri" w:cs="Calibri"/>
              </w:rPr>
              <w:t xml:space="preserve">To develop an understanding of the range and uses of </w:t>
            </w:r>
            <w:r w:rsidR="00B458C3">
              <w:rPr>
                <w:rFonts w:ascii="Calibri" w:hAnsi="Calibri" w:cs="Calibri"/>
              </w:rPr>
              <w:t>procedures followed</w:t>
            </w:r>
            <w:r w:rsidRPr="00B3548F">
              <w:rPr>
                <w:rFonts w:ascii="Calibri" w:hAnsi="Calibri" w:cs="Calibri"/>
              </w:rPr>
              <w:t xml:space="preserve"> in chemistry</w:t>
            </w:r>
            <w:r w:rsidR="00B458C3">
              <w:rPr>
                <w:rFonts w:ascii="Calibri" w:hAnsi="Calibri" w:cs="Calibri"/>
              </w:rPr>
              <w:t>.</w:t>
            </w:r>
          </w:p>
          <w:p w14:paraId="1AAA33BF" w14:textId="77777777" w:rsidR="00A8555D" w:rsidRPr="00B3548F" w:rsidRDefault="00A8555D" w:rsidP="00B3548F">
            <w:pPr>
              <w:pStyle w:val="NormalWeb"/>
              <w:numPr>
                <w:ilvl w:val="0"/>
                <w:numId w:val="19"/>
              </w:numPr>
              <w:spacing w:after="0"/>
              <w:jc w:val="both"/>
              <w:rPr>
                <w:rFonts w:ascii="Calibri" w:hAnsi="Calibri" w:cs="Calibri"/>
              </w:rPr>
            </w:pPr>
            <w:r w:rsidRPr="00B3548F">
              <w:rPr>
                <w:rFonts w:ascii="Calibri" w:hAnsi="Calibri" w:cs="Calibri"/>
              </w:rPr>
              <w:t>To establish an appreciation of the role of chemistry in</w:t>
            </w:r>
            <w:r w:rsidR="00B458C3">
              <w:rPr>
                <w:rFonts w:ascii="Calibri" w:hAnsi="Calibri" w:cs="Calibri"/>
              </w:rPr>
              <w:t xml:space="preserve"> quality control measures.</w:t>
            </w:r>
          </w:p>
          <w:p w14:paraId="0E8FE601" w14:textId="77777777" w:rsidR="00A8555D" w:rsidRPr="00B3548F" w:rsidRDefault="00A8555D" w:rsidP="00B3548F">
            <w:pPr>
              <w:pStyle w:val="NormalWeb"/>
              <w:numPr>
                <w:ilvl w:val="0"/>
                <w:numId w:val="19"/>
              </w:numPr>
              <w:spacing w:after="0"/>
              <w:jc w:val="both"/>
              <w:rPr>
                <w:rFonts w:ascii="Calibri" w:hAnsi="Calibri" w:cs="Calibri"/>
              </w:rPr>
            </w:pPr>
            <w:r w:rsidRPr="00B3548F">
              <w:rPr>
                <w:rFonts w:ascii="Calibri" w:hAnsi="Calibri" w:cs="Calibri"/>
              </w:rPr>
              <w:t>To provide an understanding of chemical methods employed for elemental and compound analysis</w:t>
            </w:r>
            <w:r w:rsidR="00B458C3">
              <w:rPr>
                <w:rFonts w:ascii="Calibri" w:hAnsi="Calibri" w:cs="Calibri"/>
              </w:rPr>
              <w:t>.</w:t>
            </w:r>
          </w:p>
          <w:p w14:paraId="41777002" w14:textId="77777777" w:rsidR="00B3548F" w:rsidRDefault="00A8555D" w:rsidP="00B3548F">
            <w:pPr>
              <w:pStyle w:val="NormalWeb"/>
              <w:numPr>
                <w:ilvl w:val="0"/>
                <w:numId w:val="19"/>
              </w:numPr>
              <w:spacing w:after="0"/>
              <w:jc w:val="both"/>
              <w:rPr>
                <w:rFonts w:ascii="Calibri" w:hAnsi="Calibri" w:cs="Calibri"/>
              </w:rPr>
            </w:pPr>
            <w:r w:rsidRPr="00B3548F">
              <w:rPr>
                <w:rFonts w:ascii="Calibri" w:hAnsi="Calibri" w:cs="Calibri"/>
              </w:rPr>
              <w:t xml:space="preserve">To provide experience in some scientific methods employed in </w:t>
            </w:r>
            <w:r w:rsidR="00B458C3">
              <w:rPr>
                <w:rFonts w:ascii="Calibri" w:hAnsi="Calibri" w:cs="Calibri"/>
              </w:rPr>
              <w:t>organic chemistry.</w:t>
            </w:r>
          </w:p>
          <w:p w14:paraId="1E10C6AF" w14:textId="77777777" w:rsidR="007F0899" w:rsidRPr="00B3548F" w:rsidRDefault="00A8555D" w:rsidP="00B3548F">
            <w:pPr>
              <w:pStyle w:val="NormalWeb"/>
              <w:numPr>
                <w:ilvl w:val="0"/>
                <w:numId w:val="19"/>
              </w:numPr>
              <w:spacing w:after="0"/>
              <w:jc w:val="both"/>
              <w:rPr>
                <w:rFonts w:ascii="Calibri" w:hAnsi="Calibri" w:cs="Calibri"/>
                <w:rtl/>
              </w:rPr>
            </w:pPr>
            <w:r w:rsidRPr="00B3548F">
              <w:rPr>
                <w:rFonts w:ascii="Calibri" w:hAnsi="Calibri" w:cs="Calibri"/>
              </w:rPr>
              <w:t>To develop skills in the scientific method of planning, developing, conducting, rev</w:t>
            </w:r>
            <w:r w:rsidR="00D95444" w:rsidRPr="00B3548F">
              <w:rPr>
                <w:rFonts w:ascii="Calibri" w:hAnsi="Calibri" w:cs="Calibri"/>
              </w:rPr>
              <w:t xml:space="preserve">iewing and reporting </w:t>
            </w:r>
            <w:r w:rsidR="00B458C3">
              <w:rPr>
                <w:rFonts w:ascii="Calibri" w:hAnsi="Calibri" w:cs="Calibri"/>
              </w:rPr>
              <w:t>test results</w:t>
            </w:r>
            <w:r w:rsidR="00D95444" w:rsidRPr="00B3548F">
              <w:rPr>
                <w:rFonts w:ascii="Calibri" w:hAnsi="Calibri" w:cs="Calibri"/>
              </w:rPr>
              <w:t>.</w:t>
            </w:r>
          </w:p>
        </w:tc>
      </w:tr>
      <w:tr w:rsidR="008D46A4" w:rsidRPr="00747A9A" w14:paraId="097310AF" w14:textId="77777777" w:rsidTr="000144CC">
        <w:tc>
          <w:tcPr>
            <w:tcW w:w="9093" w:type="dxa"/>
            <w:gridSpan w:val="3"/>
          </w:tcPr>
          <w:p w14:paraId="785560E6" w14:textId="77777777"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7E734971" w14:textId="77777777" w:rsidR="00DB4DFD" w:rsidRDefault="00DB4DFD" w:rsidP="00DB4DFD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27D577DA" w14:textId="77777777" w:rsidR="00DB4DFD" w:rsidRDefault="00DB4DFD" w:rsidP="00384A7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B4DF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Pharmaceutical Analysis A Textbook for Pharmacy Students and </w:t>
            </w:r>
            <w:proofErr w:type="spellStart"/>
            <w:r w:rsidRPr="00DB4DF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Pharmaceutical</w:t>
            </w:r>
            <w:r w:rsidRPr="00384A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Chemists</w:t>
            </w:r>
            <w:proofErr w:type="spellEnd"/>
            <w:r w:rsidRPr="00384A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by David G. Watson.</w:t>
            </w:r>
          </w:p>
          <w:p w14:paraId="4363AD27" w14:textId="77777777" w:rsidR="00DB4DFD" w:rsidRDefault="00384A79" w:rsidP="00384A7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84A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Introduction to Spectroscopy,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fifth</w:t>
            </w:r>
            <w:r w:rsidRPr="00384A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Edition Donald L. Pavia, Gary M. Lampman, George S. </w:t>
            </w:r>
            <w:proofErr w:type="spellStart"/>
            <w:r w:rsidRPr="00384A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Kriz</w:t>
            </w:r>
            <w:proofErr w:type="spellEnd"/>
            <w:r w:rsidRPr="00384A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and James R. Vyvyan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14:paraId="61F68B88" w14:textId="77777777" w:rsidR="00384A79" w:rsidRPr="00384A79" w:rsidRDefault="00384A79" w:rsidP="00384A79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Spectrophotometric identification of organic compounds, by Robert M. Silverstein, G. Clayton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Bassler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and Terence C. Morrill.</w:t>
            </w:r>
          </w:p>
          <w:p w14:paraId="4A53BC7E" w14:textId="77777777" w:rsidR="00D95444" w:rsidRPr="00384A79" w:rsidRDefault="00A8555D" w:rsidP="00384A7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A8555D">
              <w:rPr>
                <w:sz w:val="24"/>
                <w:szCs w:val="24"/>
                <w:lang w:bidi="ar-KW"/>
              </w:rPr>
              <w:t>Fundamentals of Analytical Chemistry; Eighth Edition, by Douglas A. Skoog, Donald M. West, F. James Holler and Stanley R. Crouch.</w:t>
            </w:r>
          </w:p>
        </w:tc>
      </w:tr>
      <w:tr w:rsidR="008D46A4" w:rsidRPr="00747A9A" w14:paraId="14D7F234" w14:textId="77777777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1E53B410" w14:textId="77777777"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0C2F7CEB" w14:textId="77777777"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</w:tbl>
    <w:tbl>
      <w:tblPr>
        <w:tblStyle w:val="TableGrid"/>
        <w:bidiVisual/>
        <w:tblW w:w="9093" w:type="dxa"/>
        <w:jc w:val="right"/>
        <w:tblLook w:val="0600" w:firstRow="0" w:lastRow="0" w:firstColumn="0" w:lastColumn="0" w:noHBand="1" w:noVBand="1"/>
      </w:tblPr>
      <w:tblGrid>
        <w:gridCol w:w="2505"/>
        <w:gridCol w:w="990"/>
        <w:gridCol w:w="5598"/>
      </w:tblGrid>
      <w:tr w:rsidR="008431A7" w:rsidRPr="00240BA4" w14:paraId="0DA1FBFC" w14:textId="77777777" w:rsidTr="00A50CC6">
        <w:trPr>
          <w:trHeight w:val="145"/>
          <w:jc w:val="right"/>
        </w:trPr>
        <w:tc>
          <w:tcPr>
            <w:tcW w:w="2505" w:type="dxa"/>
            <w:vMerge w:val="restart"/>
            <w:shd w:val="clear" w:color="auto" w:fill="auto"/>
          </w:tcPr>
          <w:p w14:paraId="3B737C86" w14:textId="77777777" w:rsidR="008431A7" w:rsidRPr="00240BA4" w:rsidRDefault="008431A7" w:rsidP="00A8555D">
            <w:pPr>
              <w:jc w:val="left"/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  <w:hideMark/>
          </w:tcPr>
          <w:p w14:paraId="587CED08" w14:textId="77777777" w:rsidR="008431A7" w:rsidRPr="00240BA4" w:rsidRDefault="008431A7" w:rsidP="00EE796E">
            <w:pPr>
              <w:jc w:val="left"/>
              <w:rPr>
                <w:rFonts w:asciiTheme="minorHAnsi" w:hAnsiTheme="minorHAnsi"/>
                <w:lang w:bidi="ar-IQ"/>
              </w:rPr>
            </w:pPr>
            <w:r w:rsidRPr="00240BA4">
              <w:rPr>
                <w:rFonts w:asciiTheme="minorHAnsi" w:hAnsiTheme="minorHAnsi"/>
                <w:lang w:bidi="ar-IQ"/>
              </w:rPr>
              <w:t>Week1</w:t>
            </w:r>
          </w:p>
        </w:tc>
        <w:tc>
          <w:tcPr>
            <w:tcW w:w="5598" w:type="dxa"/>
            <w:hideMark/>
          </w:tcPr>
          <w:p w14:paraId="4B9E2944" w14:textId="77777777" w:rsidR="008431A7" w:rsidRPr="00240BA4" w:rsidRDefault="002F633F" w:rsidP="00ED5490">
            <w:pPr>
              <w:jc w:val="left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>An introduction to quality control.</w:t>
            </w:r>
          </w:p>
        </w:tc>
      </w:tr>
      <w:tr w:rsidR="008431A7" w:rsidRPr="00240BA4" w14:paraId="7415736E" w14:textId="77777777" w:rsidTr="00A50CC6">
        <w:trPr>
          <w:trHeight w:val="145"/>
          <w:jc w:val="right"/>
        </w:trPr>
        <w:tc>
          <w:tcPr>
            <w:tcW w:w="2505" w:type="dxa"/>
            <w:vMerge/>
            <w:shd w:val="clear" w:color="auto" w:fill="auto"/>
          </w:tcPr>
          <w:p w14:paraId="1A4CA3B4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  <w:hideMark/>
          </w:tcPr>
          <w:p w14:paraId="0930E9DD" w14:textId="77777777" w:rsidR="008431A7" w:rsidRPr="00240BA4" w:rsidRDefault="008431A7" w:rsidP="00EE796E">
            <w:pPr>
              <w:jc w:val="left"/>
              <w:rPr>
                <w:rFonts w:asciiTheme="minorHAnsi" w:hAnsiTheme="minorHAnsi"/>
                <w:lang w:bidi="ar-IQ"/>
              </w:rPr>
            </w:pPr>
            <w:r w:rsidRPr="00240BA4">
              <w:rPr>
                <w:rFonts w:asciiTheme="minorHAnsi" w:hAnsiTheme="minorHAnsi"/>
                <w:lang w:bidi="ar-IQ"/>
              </w:rPr>
              <w:t>Week2</w:t>
            </w:r>
          </w:p>
        </w:tc>
        <w:tc>
          <w:tcPr>
            <w:tcW w:w="5598" w:type="dxa"/>
            <w:hideMark/>
          </w:tcPr>
          <w:p w14:paraId="348882FA" w14:textId="77777777" w:rsidR="008431A7" w:rsidRPr="00240BA4" w:rsidRDefault="002810E5" w:rsidP="00ED5490">
            <w:pPr>
              <w:jc w:val="left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 xml:space="preserve">General </w:t>
            </w:r>
            <w:r w:rsidR="002F633F">
              <w:rPr>
                <w:rFonts w:asciiTheme="minorHAnsi" w:hAnsiTheme="minorHAnsi"/>
                <w:lang w:bidi="ar-IQ"/>
              </w:rPr>
              <w:t>evaluation for tablets.</w:t>
            </w:r>
          </w:p>
        </w:tc>
      </w:tr>
      <w:tr w:rsidR="008431A7" w:rsidRPr="00240BA4" w14:paraId="0B929528" w14:textId="77777777" w:rsidTr="00A50CC6">
        <w:trPr>
          <w:trHeight w:val="145"/>
          <w:jc w:val="right"/>
        </w:trPr>
        <w:tc>
          <w:tcPr>
            <w:tcW w:w="2505" w:type="dxa"/>
            <w:vMerge/>
            <w:shd w:val="clear" w:color="auto" w:fill="auto"/>
          </w:tcPr>
          <w:p w14:paraId="75FA2F28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  <w:hideMark/>
          </w:tcPr>
          <w:p w14:paraId="19EFF676" w14:textId="77777777" w:rsidR="008431A7" w:rsidRPr="00240BA4" w:rsidRDefault="008431A7" w:rsidP="00EE796E">
            <w:pPr>
              <w:jc w:val="left"/>
              <w:rPr>
                <w:rFonts w:asciiTheme="minorHAnsi" w:hAnsiTheme="minorHAnsi"/>
                <w:lang w:bidi="ar-IQ"/>
              </w:rPr>
            </w:pPr>
            <w:r w:rsidRPr="00240BA4">
              <w:rPr>
                <w:rFonts w:asciiTheme="minorHAnsi" w:hAnsiTheme="minorHAnsi"/>
                <w:lang w:bidi="ar-IQ"/>
              </w:rPr>
              <w:t>Week3</w:t>
            </w:r>
          </w:p>
        </w:tc>
        <w:tc>
          <w:tcPr>
            <w:tcW w:w="5598" w:type="dxa"/>
            <w:hideMark/>
          </w:tcPr>
          <w:p w14:paraId="25CEDA1F" w14:textId="77777777" w:rsidR="008431A7" w:rsidRPr="00240BA4" w:rsidRDefault="002810E5" w:rsidP="00EE796E">
            <w:pPr>
              <w:jc w:val="left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 xml:space="preserve">General </w:t>
            </w:r>
            <w:r w:rsidR="002F633F">
              <w:rPr>
                <w:rFonts w:asciiTheme="minorHAnsi" w:hAnsiTheme="minorHAnsi"/>
                <w:lang w:bidi="ar-IQ"/>
              </w:rPr>
              <w:t>evaluation of liquid dosage form.</w:t>
            </w:r>
          </w:p>
        </w:tc>
      </w:tr>
      <w:tr w:rsidR="008431A7" w:rsidRPr="00240BA4" w14:paraId="62517A2C" w14:textId="77777777" w:rsidTr="00A50CC6">
        <w:trPr>
          <w:trHeight w:val="145"/>
          <w:jc w:val="right"/>
        </w:trPr>
        <w:tc>
          <w:tcPr>
            <w:tcW w:w="2505" w:type="dxa"/>
            <w:vMerge/>
            <w:shd w:val="clear" w:color="auto" w:fill="auto"/>
          </w:tcPr>
          <w:p w14:paraId="1170D45C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  <w:hideMark/>
          </w:tcPr>
          <w:p w14:paraId="308F8312" w14:textId="77777777" w:rsidR="008431A7" w:rsidRPr="00240BA4" w:rsidRDefault="008431A7" w:rsidP="00EE796E">
            <w:pPr>
              <w:jc w:val="left"/>
              <w:rPr>
                <w:rFonts w:asciiTheme="minorHAnsi" w:hAnsiTheme="minorHAnsi"/>
                <w:lang w:bidi="ar-IQ"/>
              </w:rPr>
            </w:pPr>
            <w:r w:rsidRPr="00240BA4">
              <w:rPr>
                <w:rFonts w:asciiTheme="minorHAnsi" w:hAnsiTheme="minorHAnsi"/>
                <w:lang w:bidi="ar-IQ"/>
              </w:rPr>
              <w:t>Week4</w:t>
            </w:r>
          </w:p>
        </w:tc>
        <w:tc>
          <w:tcPr>
            <w:tcW w:w="5598" w:type="dxa"/>
            <w:hideMark/>
          </w:tcPr>
          <w:p w14:paraId="0CA4257B" w14:textId="77777777" w:rsidR="008431A7" w:rsidRPr="00934FAF" w:rsidRDefault="002F633F" w:rsidP="001A742C">
            <w:pPr>
              <w:jc w:val="left"/>
              <w:outlineLvl w:val="0"/>
              <w:rPr>
                <w:rFonts w:asciiTheme="minorHAnsi" w:hAnsiTheme="minorHAnsi"/>
                <w:b/>
                <w:bCs/>
                <w:lang w:bidi="ar-IQ"/>
              </w:rPr>
            </w:pPr>
            <w:r w:rsidRPr="00934FAF">
              <w:rPr>
                <w:rFonts w:asciiTheme="minorHAnsi" w:hAnsiTheme="minorHAnsi"/>
                <w:b/>
                <w:bCs/>
                <w:lang w:bidi="ar-IQ"/>
              </w:rPr>
              <w:t>Ultra violet spectroscopy.</w:t>
            </w:r>
          </w:p>
          <w:p w14:paraId="103E8E4B" w14:textId="77777777" w:rsidR="002F633F" w:rsidRDefault="002F633F" w:rsidP="001A742C">
            <w:pPr>
              <w:jc w:val="left"/>
              <w:outlineLvl w:val="0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>General remarks concerning spectroscopy.</w:t>
            </w:r>
          </w:p>
          <w:p w14:paraId="4AE585F9" w14:textId="77777777" w:rsidR="002F633F" w:rsidRPr="00240BA4" w:rsidRDefault="002F633F" w:rsidP="001A742C">
            <w:pPr>
              <w:jc w:val="left"/>
              <w:outlineLvl w:val="0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>Regions of electromagnetic spectrum – electronic transition.</w:t>
            </w:r>
          </w:p>
        </w:tc>
      </w:tr>
      <w:tr w:rsidR="008431A7" w:rsidRPr="00240BA4" w14:paraId="68D330D4" w14:textId="77777777" w:rsidTr="00A50CC6">
        <w:trPr>
          <w:trHeight w:val="145"/>
          <w:jc w:val="right"/>
        </w:trPr>
        <w:tc>
          <w:tcPr>
            <w:tcW w:w="2505" w:type="dxa"/>
            <w:vMerge/>
            <w:shd w:val="clear" w:color="auto" w:fill="auto"/>
          </w:tcPr>
          <w:p w14:paraId="6AC8C638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  <w:hideMark/>
          </w:tcPr>
          <w:p w14:paraId="33694330" w14:textId="77777777" w:rsidR="008431A7" w:rsidRPr="00240BA4" w:rsidRDefault="008431A7" w:rsidP="00EE796E">
            <w:pPr>
              <w:jc w:val="left"/>
              <w:rPr>
                <w:rFonts w:asciiTheme="minorHAnsi" w:hAnsiTheme="minorHAnsi"/>
                <w:lang w:bidi="ar-IQ"/>
              </w:rPr>
            </w:pPr>
            <w:r w:rsidRPr="00240BA4">
              <w:rPr>
                <w:rFonts w:asciiTheme="minorHAnsi" w:hAnsiTheme="minorHAnsi"/>
                <w:lang w:bidi="ar-IQ"/>
              </w:rPr>
              <w:t xml:space="preserve">Week5 </w:t>
            </w:r>
          </w:p>
        </w:tc>
        <w:tc>
          <w:tcPr>
            <w:tcW w:w="5598" w:type="dxa"/>
            <w:hideMark/>
          </w:tcPr>
          <w:p w14:paraId="68435131" w14:textId="77777777" w:rsidR="002F633F" w:rsidRPr="00934FAF" w:rsidRDefault="002F633F" w:rsidP="002F633F">
            <w:pPr>
              <w:jc w:val="left"/>
              <w:outlineLvl w:val="0"/>
              <w:rPr>
                <w:rFonts w:asciiTheme="minorHAnsi" w:hAnsiTheme="minorHAnsi"/>
                <w:b/>
                <w:bCs/>
                <w:lang w:bidi="ar-IQ"/>
              </w:rPr>
            </w:pPr>
            <w:r w:rsidRPr="00934FAF">
              <w:rPr>
                <w:rFonts w:asciiTheme="minorHAnsi" w:hAnsiTheme="minorHAnsi"/>
                <w:b/>
                <w:bCs/>
                <w:lang w:bidi="ar-IQ"/>
              </w:rPr>
              <w:t>Ultra violet spectroscopy.</w:t>
            </w:r>
          </w:p>
          <w:p w14:paraId="798EACF3" w14:textId="77777777" w:rsidR="008431A7" w:rsidRDefault="002F633F" w:rsidP="00E96393">
            <w:pPr>
              <w:tabs>
                <w:tab w:val="left" w:pos="7920"/>
                <w:tab w:val="left" w:pos="16845"/>
              </w:tabs>
              <w:jc w:val="left"/>
              <w:outlineLvl w:val="0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 xml:space="preserve">Influence of solvent polarity on </w:t>
            </w:r>
            <w:r w:rsidR="00934FAF">
              <w:rPr>
                <w:rFonts w:asciiTheme="minorHAnsi" w:hAnsiTheme="minorHAnsi"/>
                <w:lang w:bidi="ar-IQ"/>
              </w:rPr>
              <w:t>various electronic transition.</w:t>
            </w:r>
          </w:p>
          <w:p w14:paraId="718DD28C" w14:textId="77777777" w:rsidR="00934FAF" w:rsidRPr="00240BA4" w:rsidRDefault="00934FAF" w:rsidP="00E96393">
            <w:pPr>
              <w:tabs>
                <w:tab w:val="left" w:pos="7920"/>
                <w:tab w:val="left" w:pos="16845"/>
              </w:tabs>
              <w:jc w:val="left"/>
              <w:outlineLvl w:val="0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>Spectra in the identification of organic compounds.</w:t>
            </w:r>
          </w:p>
        </w:tc>
      </w:tr>
      <w:tr w:rsidR="008431A7" w:rsidRPr="00240BA4" w14:paraId="3B50EB73" w14:textId="77777777" w:rsidTr="0030694A">
        <w:trPr>
          <w:trHeight w:val="145"/>
          <w:jc w:val="right"/>
        </w:trPr>
        <w:tc>
          <w:tcPr>
            <w:tcW w:w="2505" w:type="dxa"/>
            <w:vMerge/>
            <w:shd w:val="clear" w:color="auto" w:fill="auto"/>
          </w:tcPr>
          <w:p w14:paraId="09052B7B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</w:tcPr>
          <w:p w14:paraId="2661C7D4" w14:textId="77777777" w:rsidR="008431A7" w:rsidRPr="00240BA4" w:rsidRDefault="008431A7" w:rsidP="00390725">
            <w:pPr>
              <w:jc w:val="left"/>
              <w:rPr>
                <w:rFonts w:asciiTheme="minorHAnsi" w:hAnsiTheme="minorHAnsi"/>
                <w:lang w:bidi="ar-IQ"/>
              </w:rPr>
            </w:pPr>
            <w:r w:rsidRPr="00240BA4">
              <w:rPr>
                <w:rFonts w:asciiTheme="minorHAnsi" w:hAnsiTheme="minorHAnsi"/>
                <w:lang w:bidi="ar-IQ"/>
              </w:rPr>
              <w:t>Week6</w:t>
            </w:r>
          </w:p>
        </w:tc>
        <w:tc>
          <w:tcPr>
            <w:tcW w:w="5598" w:type="dxa"/>
          </w:tcPr>
          <w:p w14:paraId="103BE80F" w14:textId="77777777" w:rsidR="00934FAF" w:rsidRPr="00934FAF" w:rsidRDefault="00934FAF" w:rsidP="00934FAF">
            <w:pPr>
              <w:jc w:val="left"/>
              <w:outlineLvl w:val="0"/>
              <w:rPr>
                <w:rFonts w:asciiTheme="minorHAnsi" w:hAnsiTheme="minorHAnsi"/>
                <w:b/>
                <w:bCs/>
                <w:lang w:bidi="ar-IQ"/>
              </w:rPr>
            </w:pPr>
            <w:r w:rsidRPr="00934FAF">
              <w:rPr>
                <w:rFonts w:asciiTheme="minorHAnsi" w:hAnsiTheme="minorHAnsi"/>
                <w:b/>
                <w:bCs/>
                <w:lang w:bidi="ar-IQ"/>
              </w:rPr>
              <w:t>Ultra violet spectroscopy.</w:t>
            </w:r>
          </w:p>
          <w:p w14:paraId="65424B55" w14:textId="77777777" w:rsidR="008431A7" w:rsidRPr="00240BA4" w:rsidRDefault="00934FAF" w:rsidP="00E96393">
            <w:pPr>
              <w:tabs>
                <w:tab w:val="left" w:pos="16200"/>
                <w:tab w:val="right" w:pos="19875"/>
              </w:tabs>
              <w:jc w:val="left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ar-IQ"/>
              </w:rPr>
              <w:t>Spectra in the identification of organic compounds.</w:t>
            </w:r>
          </w:p>
        </w:tc>
      </w:tr>
      <w:tr w:rsidR="008431A7" w:rsidRPr="00240BA4" w14:paraId="05476134" w14:textId="77777777" w:rsidTr="0030694A">
        <w:trPr>
          <w:trHeight w:val="145"/>
          <w:jc w:val="right"/>
        </w:trPr>
        <w:tc>
          <w:tcPr>
            <w:tcW w:w="2505" w:type="dxa"/>
            <w:vMerge/>
            <w:shd w:val="clear" w:color="auto" w:fill="auto"/>
          </w:tcPr>
          <w:p w14:paraId="2A656003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</w:tcPr>
          <w:p w14:paraId="0E2126A3" w14:textId="77777777" w:rsidR="008431A7" w:rsidRPr="00240BA4" w:rsidRDefault="008431A7" w:rsidP="00390725">
            <w:pPr>
              <w:jc w:val="left"/>
              <w:rPr>
                <w:rFonts w:asciiTheme="minorHAnsi" w:hAnsiTheme="minorHAnsi"/>
                <w:lang w:bidi="ar-IQ"/>
              </w:rPr>
            </w:pPr>
            <w:r w:rsidRPr="00240BA4">
              <w:rPr>
                <w:rFonts w:asciiTheme="minorHAnsi" w:hAnsiTheme="minorHAnsi"/>
                <w:lang w:bidi="ar-IQ"/>
              </w:rPr>
              <w:t>Week7</w:t>
            </w:r>
          </w:p>
        </w:tc>
        <w:tc>
          <w:tcPr>
            <w:tcW w:w="5598" w:type="dxa"/>
          </w:tcPr>
          <w:p w14:paraId="28D402FF" w14:textId="77777777" w:rsidR="008431A7" w:rsidRPr="00934FAF" w:rsidRDefault="00934FAF" w:rsidP="00E96393">
            <w:pPr>
              <w:jc w:val="left"/>
              <w:outlineLvl w:val="0"/>
              <w:rPr>
                <w:rFonts w:asciiTheme="minorHAnsi" w:hAnsiTheme="minorHAnsi"/>
              </w:rPr>
            </w:pPr>
            <w:r w:rsidRPr="00934FAF">
              <w:rPr>
                <w:rFonts w:asciiTheme="minorHAnsi" w:hAnsiTheme="minorHAnsi"/>
                <w:b/>
                <w:bCs/>
              </w:rPr>
              <w:t>IR spectroscopy.</w:t>
            </w:r>
          </w:p>
          <w:p w14:paraId="6883CAEC" w14:textId="77777777" w:rsidR="00934FAF" w:rsidRDefault="00934FAF" w:rsidP="00E96393">
            <w:pPr>
              <w:jc w:val="left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Physical principles. </w:t>
            </w:r>
          </w:p>
          <w:p w14:paraId="230CBB38" w14:textId="77777777" w:rsidR="00934FAF" w:rsidRDefault="00934FAF" w:rsidP="00E96393">
            <w:pPr>
              <w:jc w:val="left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Background.</w:t>
            </w:r>
          </w:p>
          <w:p w14:paraId="3A771402" w14:textId="77777777" w:rsidR="00934FAF" w:rsidRPr="00240BA4" w:rsidRDefault="00934FAF" w:rsidP="00E96393">
            <w:pPr>
              <w:jc w:val="left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Theory of IR absorption spectroscopy.</w:t>
            </w:r>
          </w:p>
        </w:tc>
      </w:tr>
      <w:tr w:rsidR="008431A7" w:rsidRPr="00240BA4" w14:paraId="2D873AEA" w14:textId="77777777" w:rsidTr="0030694A">
        <w:trPr>
          <w:trHeight w:val="145"/>
          <w:jc w:val="right"/>
        </w:trPr>
        <w:tc>
          <w:tcPr>
            <w:tcW w:w="2505" w:type="dxa"/>
            <w:vMerge/>
            <w:shd w:val="clear" w:color="auto" w:fill="auto"/>
          </w:tcPr>
          <w:p w14:paraId="1E68BE84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</w:tcPr>
          <w:p w14:paraId="33619164" w14:textId="77777777" w:rsidR="008431A7" w:rsidRPr="00240BA4" w:rsidRDefault="008431A7" w:rsidP="00390725">
            <w:pPr>
              <w:jc w:val="left"/>
              <w:rPr>
                <w:rFonts w:asciiTheme="minorHAnsi" w:hAnsiTheme="minorHAnsi"/>
                <w:lang w:bidi="ar-IQ"/>
              </w:rPr>
            </w:pPr>
            <w:r w:rsidRPr="00240BA4">
              <w:rPr>
                <w:rFonts w:asciiTheme="minorHAnsi" w:hAnsiTheme="minorHAnsi"/>
                <w:lang w:bidi="ar-IQ"/>
              </w:rPr>
              <w:t>Week8</w:t>
            </w:r>
          </w:p>
        </w:tc>
        <w:tc>
          <w:tcPr>
            <w:tcW w:w="5598" w:type="dxa"/>
          </w:tcPr>
          <w:p w14:paraId="41136F16" w14:textId="77777777" w:rsidR="00934FAF" w:rsidRPr="00934FAF" w:rsidRDefault="00934FAF" w:rsidP="00934FAF">
            <w:pPr>
              <w:jc w:val="left"/>
              <w:outlineLvl w:val="0"/>
              <w:rPr>
                <w:rFonts w:asciiTheme="minorHAnsi" w:hAnsiTheme="minorHAnsi"/>
              </w:rPr>
            </w:pPr>
            <w:r w:rsidRPr="00934FAF">
              <w:rPr>
                <w:rFonts w:asciiTheme="minorHAnsi" w:hAnsiTheme="minorHAnsi"/>
                <w:b/>
                <w:bCs/>
              </w:rPr>
              <w:t>IR spectroscopy.</w:t>
            </w:r>
          </w:p>
          <w:p w14:paraId="21997CF4" w14:textId="77777777" w:rsidR="008431A7" w:rsidRDefault="00934FAF" w:rsidP="00E9639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Vibrational spectroscopy.</w:t>
            </w:r>
          </w:p>
          <w:p w14:paraId="185B6DF1" w14:textId="77777777" w:rsidR="00934FAF" w:rsidRDefault="00934FAF" w:rsidP="00E9639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Fundamental &amp;</w:t>
            </w:r>
            <w:r w:rsidR="003A06C8">
              <w:rPr>
                <w:rFonts w:asciiTheme="minorHAnsi" w:hAnsiTheme="minorHAnsi"/>
              </w:rPr>
              <w:t>non-</w:t>
            </w:r>
            <w:proofErr w:type="spellStart"/>
            <w:r w:rsidR="003A06C8">
              <w:rPr>
                <w:rFonts w:asciiTheme="minorHAnsi" w:hAnsiTheme="minorHAnsi"/>
              </w:rPr>
              <w:t>fundamentalabsorption</w:t>
            </w:r>
            <w:proofErr w:type="spellEnd"/>
            <w:r w:rsidR="003A06C8">
              <w:rPr>
                <w:rFonts w:asciiTheme="minorHAnsi" w:hAnsiTheme="minorHAnsi"/>
              </w:rPr>
              <w:t xml:space="preserve"> frequency.</w:t>
            </w:r>
          </w:p>
          <w:p w14:paraId="06956D1A" w14:textId="77777777" w:rsidR="003A06C8" w:rsidRPr="00240BA4" w:rsidRDefault="003A06C8" w:rsidP="00E96393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Instrumentation of IR.</w:t>
            </w:r>
          </w:p>
        </w:tc>
      </w:tr>
      <w:tr w:rsidR="008431A7" w:rsidRPr="00240BA4" w14:paraId="3FC8288A" w14:textId="77777777" w:rsidTr="0030694A">
        <w:trPr>
          <w:trHeight w:val="145"/>
          <w:jc w:val="right"/>
        </w:trPr>
        <w:tc>
          <w:tcPr>
            <w:tcW w:w="2505" w:type="dxa"/>
            <w:vMerge/>
            <w:shd w:val="clear" w:color="auto" w:fill="auto"/>
          </w:tcPr>
          <w:p w14:paraId="37EBECE3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</w:tcPr>
          <w:p w14:paraId="70EB9E0C" w14:textId="77777777" w:rsidR="008431A7" w:rsidRPr="00240BA4" w:rsidRDefault="008431A7" w:rsidP="00390725">
            <w:pPr>
              <w:jc w:val="left"/>
              <w:rPr>
                <w:rFonts w:asciiTheme="minorHAnsi" w:hAnsiTheme="minorHAnsi"/>
                <w:lang w:bidi="ar-IQ"/>
              </w:rPr>
            </w:pPr>
            <w:r w:rsidRPr="00240BA4">
              <w:rPr>
                <w:rFonts w:asciiTheme="minorHAnsi" w:hAnsiTheme="minorHAnsi"/>
                <w:lang w:bidi="ar-IQ"/>
              </w:rPr>
              <w:t>Week9</w:t>
            </w:r>
          </w:p>
        </w:tc>
        <w:tc>
          <w:tcPr>
            <w:tcW w:w="5598" w:type="dxa"/>
          </w:tcPr>
          <w:p w14:paraId="1A1B2D8B" w14:textId="77777777" w:rsidR="003A06C8" w:rsidRPr="00934FAF" w:rsidRDefault="003A06C8" w:rsidP="003A06C8">
            <w:pPr>
              <w:jc w:val="left"/>
              <w:outlineLvl w:val="0"/>
              <w:rPr>
                <w:rFonts w:asciiTheme="minorHAnsi" w:hAnsiTheme="minorHAnsi"/>
              </w:rPr>
            </w:pPr>
            <w:r w:rsidRPr="00934FAF">
              <w:rPr>
                <w:rFonts w:asciiTheme="minorHAnsi" w:hAnsiTheme="minorHAnsi"/>
                <w:b/>
                <w:bCs/>
              </w:rPr>
              <w:t>IR spectroscopy.</w:t>
            </w:r>
          </w:p>
          <w:p w14:paraId="1FAEF8A7" w14:textId="77777777" w:rsidR="008431A7" w:rsidRDefault="003A06C8" w:rsidP="00E96393">
            <w:pPr>
              <w:jc w:val="left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>Characteristic group vibrations.</w:t>
            </w:r>
          </w:p>
          <w:p w14:paraId="1685D944" w14:textId="77777777" w:rsidR="003A06C8" w:rsidRDefault="003A06C8" w:rsidP="00E96393">
            <w:pPr>
              <w:jc w:val="left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>Factors determining the position &amp; intensity of absorption bands.</w:t>
            </w:r>
          </w:p>
          <w:p w14:paraId="27ECBAD4" w14:textId="77777777" w:rsidR="003A06C8" w:rsidRPr="00240BA4" w:rsidRDefault="003A06C8" w:rsidP="00E96393">
            <w:pPr>
              <w:jc w:val="left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>Problem solving.</w:t>
            </w:r>
          </w:p>
        </w:tc>
      </w:tr>
      <w:tr w:rsidR="008431A7" w:rsidRPr="00240BA4" w14:paraId="6F94AC45" w14:textId="77777777" w:rsidTr="0030694A">
        <w:trPr>
          <w:trHeight w:val="648"/>
          <w:jc w:val="right"/>
        </w:trPr>
        <w:tc>
          <w:tcPr>
            <w:tcW w:w="2505" w:type="dxa"/>
            <w:vMerge/>
            <w:shd w:val="clear" w:color="auto" w:fill="auto"/>
          </w:tcPr>
          <w:p w14:paraId="7CC80195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</w:tcPr>
          <w:p w14:paraId="1FF1ADF6" w14:textId="77777777" w:rsidR="008431A7" w:rsidRPr="00240BA4" w:rsidRDefault="008431A7" w:rsidP="00390725">
            <w:pPr>
              <w:jc w:val="left"/>
              <w:rPr>
                <w:rFonts w:asciiTheme="minorHAnsi" w:hAnsiTheme="minorHAnsi"/>
                <w:lang w:bidi="ar-IQ"/>
              </w:rPr>
            </w:pPr>
            <w:r w:rsidRPr="00240BA4">
              <w:rPr>
                <w:rFonts w:asciiTheme="minorHAnsi" w:hAnsiTheme="minorHAnsi"/>
                <w:lang w:bidi="ar-IQ"/>
              </w:rPr>
              <w:t>Week10</w:t>
            </w:r>
          </w:p>
        </w:tc>
        <w:tc>
          <w:tcPr>
            <w:tcW w:w="5598" w:type="dxa"/>
          </w:tcPr>
          <w:p w14:paraId="15AB8186" w14:textId="77777777" w:rsidR="008431A7" w:rsidRPr="00240BA4" w:rsidRDefault="008431A7" w:rsidP="00E96393">
            <w:pPr>
              <w:tabs>
                <w:tab w:val="left" w:pos="13890"/>
              </w:tabs>
              <w:jc w:val="left"/>
              <w:outlineLvl w:val="0"/>
              <w:rPr>
                <w:rFonts w:asciiTheme="minorHAnsi" w:hAnsiTheme="minorHAnsi"/>
                <w:lang w:bidi="ar-IQ"/>
              </w:rPr>
            </w:pPr>
            <w:r w:rsidRPr="00240BA4">
              <w:rPr>
                <w:rFonts w:asciiTheme="minorHAnsi" w:hAnsiTheme="minorHAnsi"/>
                <w:lang w:bidi="ar-IQ"/>
              </w:rPr>
              <w:t>THE FIRST EXAME</w:t>
            </w:r>
          </w:p>
        </w:tc>
      </w:tr>
      <w:tr w:rsidR="008431A7" w:rsidRPr="00240BA4" w14:paraId="38A3CF32" w14:textId="77777777" w:rsidTr="0030694A">
        <w:trPr>
          <w:trHeight w:val="553"/>
          <w:jc w:val="right"/>
        </w:trPr>
        <w:tc>
          <w:tcPr>
            <w:tcW w:w="2505" w:type="dxa"/>
            <w:vMerge/>
            <w:shd w:val="clear" w:color="auto" w:fill="auto"/>
          </w:tcPr>
          <w:p w14:paraId="35A1D4EB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</w:tcPr>
          <w:p w14:paraId="1C720CF8" w14:textId="77777777" w:rsidR="008431A7" w:rsidRPr="00240BA4" w:rsidRDefault="008431A7" w:rsidP="00390725">
            <w:pPr>
              <w:jc w:val="left"/>
              <w:rPr>
                <w:rFonts w:asciiTheme="minorHAnsi" w:hAnsiTheme="minorHAnsi"/>
                <w:lang w:bidi="ar-IQ"/>
              </w:rPr>
            </w:pPr>
            <w:r w:rsidRPr="00240BA4">
              <w:rPr>
                <w:rFonts w:asciiTheme="minorHAnsi" w:hAnsiTheme="minorHAnsi"/>
                <w:lang w:bidi="ar-IQ"/>
              </w:rPr>
              <w:t>Week11</w:t>
            </w:r>
          </w:p>
        </w:tc>
        <w:tc>
          <w:tcPr>
            <w:tcW w:w="5598" w:type="dxa"/>
          </w:tcPr>
          <w:p w14:paraId="5E685883" w14:textId="77777777" w:rsidR="008431A7" w:rsidRPr="00456490" w:rsidRDefault="00456490" w:rsidP="00F16F61">
            <w:pPr>
              <w:jc w:val="left"/>
              <w:rPr>
                <w:rFonts w:asciiTheme="minorHAnsi" w:hAnsiTheme="minorHAnsi"/>
                <w:b/>
                <w:bCs/>
                <w:lang w:bidi="ar-IQ"/>
              </w:rPr>
            </w:pPr>
            <w:r w:rsidRPr="00456490">
              <w:rPr>
                <w:rFonts w:asciiTheme="minorHAnsi" w:hAnsiTheme="minorHAnsi"/>
                <w:b/>
                <w:bCs/>
                <w:lang w:bidi="ar-IQ"/>
              </w:rPr>
              <w:t>NMR (Nuclear Magnetic Resonance)</w:t>
            </w:r>
          </w:p>
          <w:p w14:paraId="6418924C" w14:textId="77777777" w:rsidR="0047095B" w:rsidRDefault="00456490" w:rsidP="00F16F61">
            <w:pPr>
              <w:jc w:val="left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>Introduction.</w:t>
            </w:r>
          </w:p>
          <w:p w14:paraId="1DB15F5A" w14:textId="77777777" w:rsidR="00F14E25" w:rsidRPr="00456490" w:rsidRDefault="00456490" w:rsidP="00F14E25">
            <w:pPr>
              <w:jc w:val="left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>NMR phenomena.</w:t>
            </w:r>
          </w:p>
        </w:tc>
      </w:tr>
      <w:tr w:rsidR="008431A7" w:rsidRPr="00240BA4" w14:paraId="2C114DA4" w14:textId="77777777" w:rsidTr="00A12879">
        <w:trPr>
          <w:trHeight w:val="317"/>
          <w:jc w:val="right"/>
        </w:trPr>
        <w:tc>
          <w:tcPr>
            <w:tcW w:w="2505" w:type="dxa"/>
            <w:vMerge/>
            <w:shd w:val="clear" w:color="auto" w:fill="auto"/>
          </w:tcPr>
          <w:p w14:paraId="7F508049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</w:tcPr>
          <w:p w14:paraId="4E566987" w14:textId="77777777" w:rsidR="008431A7" w:rsidRPr="00240BA4" w:rsidRDefault="008431A7" w:rsidP="00390725">
            <w:pPr>
              <w:jc w:val="left"/>
              <w:rPr>
                <w:rFonts w:asciiTheme="minorHAnsi" w:hAnsiTheme="minorHAnsi"/>
                <w:lang w:bidi="ar-IQ"/>
              </w:rPr>
            </w:pPr>
            <w:r w:rsidRPr="00240BA4">
              <w:rPr>
                <w:rFonts w:asciiTheme="minorHAnsi" w:hAnsiTheme="minorHAnsi"/>
                <w:lang w:bidi="ar-IQ"/>
              </w:rPr>
              <w:t>Week12</w:t>
            </w:r>
          </w:p>
        </w:tc>
        <w:tc>
          <w:tcPr>
            <w:tcW w:w="5598" w:type="dxa"/>
          </w:tcPr>
          <w:p w14:paraId="641B475E" w14:textId="77777777" w:rsidR="00F14E25" w:rsidRPr="00456490" w:rsidRDefault="00F14E25" w:rsidP="00F14E25">
            <w:pPr>
              <w:jc w:val="left"/>
              <w:rPr>
                <w:rFonts w:asciiTheme="minorHAnsi" w:hAnsiTheme="minorHAnsi"/>
                <w:b/>
                <w:bCs/>
                <w:lang w:bidi="ar-IQ"/>
              </w:rPr>
            </w:pPr>
            <w:r w:rsidRPr="00456490">
              <w:rPr>
                <w:rFonts w:asciiTheme="minorHAnsi" w:hAnsiTheme="minorHAnsi"/>
                <w:b/>
                <w:bCs/>
                <w:lang w:bidi="ar-IQ"/>
              </w:rPr>
              <w:t>NMR (Nuclear Magnetic Resonance)</w:t>
            </w:r>
          </w:p>
          <w:p w14:paraId="058DCD80" w14:textId="77777777" w:rsidR="008431A7" w:rsidRPr="00F14E25" w:rsidRDefault="00F14E25" w:rsidP="00F14E25">
            <w:pPr>
              <w:jc w:val="left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>Nuclear spin &amp; the spectrometer.</w:t>
            </w:r>
          </w:p>
        </w:tc>
      </w:tr>
      <w:tr w:rsidR="008431A7" w:rsidRPr="00240BA4" w14:paraId="7AE46F2A" w14:textId="77777777" w:rsidTr="00A65C85">
        <w:trPr>
          <w:trHeight w:val="317"/>
          <w:jc w:val="right"/>
        </w:trPr>
        <w:tc>
          <w:tcPr>
            <w:tcW w:w="2505" w:type="dxa"/>
            <w:vMerge/>
            <w:shd w:val="clear" w:color="auto" w:fill="auto"/>
          </w:tcPr>
          <w:p w14:paraId="2EDC5183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</w:tcPr>
          <w:p w14:paraId="552FECA0" w14:textId="77777777" w:rsidR="008431A7" w:rsidRPr="00240BA4" w:rsidRDefault="008431A7" w:rsidP="00390725">
            <w:pPr>
              <w:jc w:val="left"/>
              <w:rPr>
                <w:rFonts w:asciiTheme="minorHAnsi" w:hAnsiTheme="minorHAnsi"/>
                <w:lang w:bidi="ar-IQ"/>
              </w:rPr>
            </w:pPr>
            <w:r w:rsidRPr="00240BA4">
              <w:rPr>
                <w:rFonts w:asciiTheme="minorHAnsi" w:hAnsiTheme="minorHAnsi"/>
                <w:lang w:bidi="ar-IQ"/>
              </w:rPr>
              <w:t>Week13</w:t>
            </w:r>
          </w:p>
        </w:tc>
        <w:tc>
          <w:tcPr>
            <w:tcW w:w="5598" w:type="dxa"/>
          </w:tcPr>
          <w:p w14:paraId="2A958E64" w14:textId="77777777" w:rsidR="00F14E25" w:rsidRPr="00456490" w:rsidRDefault="00F14E25" w:rsidP="00F14E25">
            <w:pPr>
              <w:jc w:val="left"/>
              <w:rPr>
                <w:rFonts w:asciiTheme="minorHAnsi" w:hAnsiTheme="minorHAnsi"/>
                <w:b/>
                <w:bCs/>
                <w:lang w:bidi="ar-IQ"/>
              </w:rPr>
            </w:pPr>
            <w:r w:rsidRPr="00456490">
              <w:rPr>
                <w:rFonts w:asciiTheme="minorHAnsi" w:hAnsiTheme="minorHAnsi"/>
                <w:b/>
                <w:bCs/>
                <w:lang w:bidi="ar-IQ"/>
              </w:rPr>
              <w:t>NMR (Nuclear Magnetic Resonance)</w:t>
            </w:r>
          </w:p>
          <w:p w14:paraId="46846B1E" w14:textId="77777777" w:rsidR="00F14E25" w:rsidRDefault="00F14E25" w:rsidP="00F14E25">
            <w:pPr>
              <w:jc w:val="left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>Origin of the NMR spin.</w:t>
            </w:r>
          </w:p>
          <w:p w14:paraId="610E411A" w14:textId="77777777" w:rsidR="008431A7" w:rsidRPr="00240BA4" w:rsidRDefault="00F14E25" w:rsidP="00F14E2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>What does NMR spectrum tell you?</w:t>
            </w:r>
          </w:p>
        </w:tc>
      </w:tr>
      <w:tr w:rsidR="008431A7" w:rsidRPr="00240BA4" w14:paraId="646B7D6A" w14:textId="77777777" w:rsidTr="00F14E25">
        <w:trPr>
          <w:trHeight w:val="667"/>
          <w:jc w:val="right"/>
        </w:trPr>
        <w:tc>
          <w:tcPr>
            <w:tcW w:w="2505" w:type="dxa"/>
            <w:vMerge/>
            <w:shd w:val="clear" w:color="auto" w:fill="auto"/>
          </w:tcPr>
          <w:p w14:paraId="28898D9A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</w:tcPr>
          <w:p w14:paraId="400A23CA" w14:textId="77777777" w:rsidR="008431A7" w:rsidRPr="00240BA4" w:rsidRDefault="008431A7" w:rsidP="00390725">
            <w:pPr>
              <w:jc w:val="left"/>
              <w:rPr>
                <w:rFonts w:asciiTheme="minorHAnsi" w:hAnsiTheme="minorHAnsi"/>
                <w:lang w:bidi="ar-IQ"/>
              </w:rPr>
            </w:pPr>
            <w:r w:rsidRPr="00240BA4">
              <w:rPr>
                <w:rFonts w:asciiTheme="minorHAnsi" w:hAnsiTheme="minorHAnsi"/>
                <w:lang w:bidi="ar-IQ"/>
              </w:rPr>
              <w:t>Week14</w:t>
            </w:r>
          </w:p>
        </w:tc>
        <w:tc>
          <w:tcPr>
            <w:tcW w:w="5598" w:type="dxa"/>
          </w:tcPr>
          <w:p w14:paraId="600BC3DD" w14:textId="77777777" w:rsidR="00F14E25" w:rsidRPr="00456490" w:rsidRDefault="00F14E25" w:rsidP="00F14E25">
            <w:pPr>
              <w:jc w:val="left"/>
              <w:rPr>
                <w:rFonts w:asciiTheme="minorHAnsi" w:hAnsiTheme="minorHAnsi"/>
                <w:b/>
                <w:bCs/>
                <w:lang w:bidi="ar-IQ"/>
              </w:rPr>
            </w:pPr>
            <w:r w:rsidRPr="00456490">
              <w:rPr>
                <w:rFonts w:asciiTheme="minorHAnsi" w:hAnsiTheme="minorHAnsi"/>
                <w:b/>
                <w:bCs/>
                <w:lang w:bidi="ar-IQ"/>
              </w:rPr>
              <w:t>NMR (Nuclear Magnetic Resonance)</w:t>
            </w:r>
          </w:p>
          <w:p w14:paraId="3E65DA10" w14:textId="77777777" w:rsidR="008431A7" w:rsidRPr="00A65C85" w:rsidRDefault="00F14E25" w:rsidP="00F14E25">
            <w:pPr>
              <w:jc w:val="left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>Shielding &amp;</w:t>
            </w:r>
            <w:r w:rsidR="00A97AEC">
              <w:rPr>
                <w:rFonts w:asciiTheme="minorHAnsi" w:hAnsiTheme="minorHAnsi"/>
                <w:lang w:bidi="ar-IQ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bidi="ar-IQ"/>
              </w:rPr>
              <w:t>Deshielding</w:t>
            </w:r>
            <w:proofErr w:type="spellEnd"/>
            <w:r>
              <w:rPr>
                <w:rFonts w:asciiTheme="minorHAnsi" w:hAnsiTheme="minorHAnsi"/>
                <w:lang w:bidi="ar-IQ"/>
              </w:rPr>
              <w:t>.</w:t>
            </w:r>
          </w:p>
        </w:tc>
      </w:tr>
      <w:tr w:rsidR="008431A7" w:rsidRPr="00240BA4" w14:paraId="6225A9CD" w14:textId="77777777" w:rsidTr="003C77A8">
        <w:trPr>
          <w:trHeight w:val="648"/>
          <w:jc w:val="right"/>
        </w:trPr>
        <w:tc>
          <w:tcPr>
            <w:tcW w:w="2505" w:type="dxa"/>
            <w:vMerge/>
            <w:shd w:val="clear" w:color="auto" w:fill="auto"/>
          </w:tcPr>
          <w:p w14:paraId="0AB7310A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</w:tcPr>
          <w:p w14:paraId="30E104D5" w14:textId="77777777" w:rsidR="008431A7" w:rsidRPr="00240BA4" w:rsidRDefault="008431A7" w:rsidP="00390725">
            <w:pPr>
              <w:jc w:val="left"/>
              <w:rPr>
                <w:rFonts w:asciiTheme="minorHAnsi" w:hAnsiTheme="minorHAnsi"/>
                <w:lang w:bidi="ar-IQ"/>
              </w:rPr>
            </w:pPr>
            <w:r w:rsidRPr="00240BA4">
              <w:rPr>
                <w:rFonts w:asciiTheme="minorHAnsi" w:hAnsiTheme="minorHAnsi"/>
                <w:lang w:bidi="ar-IQ"/>
              </w:rPr>
              <w:t>Week15</w:t>
            </w:r>
          </w:p>
        </w:tc>
        <w:tc>
          <w:tcPr>
            <w:tcW w:w="5598" w:type="dxa"/>
          </w:tcPr>
          <w:p w14:paraId="43831BB2" w14:textId="77777777" w:rsidR="00F14E25" w:rsidRPr="00456490" w:rsidRDefault="00F14E25" w:rsidP="00F14E25">
            <w:pPr>
              <w:jc w:val="left"/>
              <w:rPr>
                <w:rFonts w:asciiTheme="minorHAnsi" w:hAnsiTheme="minorHAnsi"/>
                <w:b/>
                <w:bCs/>
                <w:lang w:bidi="ar-IQ"/>
              </w:rPr>
            </w:pPr>
            <w:r w:rsidRPr="00456490">
              <w:rPr>
                <w:rFonts w:asciiTheme="minorHAnsi" w:hAnsiTheme="minorHAnsi"/>
                <w:b/>
                <w:bCs/>
                <w:lang w:bidi="ar-IQ"/>
              </w:rPr>
              <w:t>NMR (Nuclear Magnetic Resonance)</w:t>
            </w:r>
          </w:p>
          <w:p w14:paraId="17CA5DF9" w14:textId="77777777" w:rsidR="00F14E25" w:rsidRDefault="00F14E25" w:rsidP="00F14E25">
            <w:pPr>
              <w:jc w:val="left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>Quantitative analysis by H – NMR.</w:t>
            </w:r>
          </w:p>
          <w:p w14:paraId="4983D8EC" w14:textId="77777777" w:rsidR="008431A7" w:rsidRPr="00240BA4" w:rsidRDefault="00F14E25" w:rsidP="00F14E25">
            <w:pPr>
              <w:jc w:val="left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>Problem solving.</w:t>
            </w:r>
          </w:p>
        </w:tc>
      </w:tr>
      <w:tr w:rsidR="008431A7" w:rsidRPr="00240BA4" w14:paraId="703C034B" w14:textId="77777777" w:rsidTr="0059670D">
        <w:trPr>
          <w:trHeight w:val="419"/>
          <w:jc w:val="right"/>
        </w:trPr>
        <w:tc>
          <w:tcPr>
            <w:tcW w:w="2505" w:type="dxa"/>
            <w:vMerge/>
            <w:shd w:val="clear" w:color="auto" w:fill="auto"/>
          </w:tcPr>
          <w:p w14:paraId="59F01608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</w:tcPr>
          <w:p w14:paraId="6A8A14B5" w14:textId="77777777" w:rsidR="008431A7" w:rsidRPr="00240BA4" w:rsidRDefault="008431A7" w:rsidP="00390725">
            <w:pPr>
              <w:jc w:val="left"/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5598" w:type="dxa"/>
          </w:tcPr>
          <w:p w14:paraId="4E4961DC" w14:textId="77777777" w:rsidR="008431A7" w:rsidRPr="0059670D" w:rsidRDefault="008431A7" w:rsidP="00F14E25">
            <w:pPr>
              <w:jc w:val="left"/>
              <w:rPr>
                <w:rFonts w:asciiTheme="minorHAnsi" w:hAnsiTheme="minorHAnsi"/>
                <w:lang w:bidi="ar-IQ"/>
              </w:rPr>
            </w:pPr>
          </w:p>
        </w:tc>
      </w:tr>
      <w:tr w:rsidR="008431A7" w:rsidRPr="00240BA4" w14:paraId="65528354" w14:textId="77777777" w:rsidTr="0030694A">
        <w:trPr>
          <w:trHeight w:val="648"/>
          <w:jc w:val="right"/>
        </w:trPr>
        <w:tc>
          <w:tcPr>
            <w:tcW w:w="2505" w:type="dxa"/>
            <w:vMerge/>
            <w:shd w:val="clear" w:color="auto" w:fill="auto"/>
          </w:tcPr>
          <w:p w14:paraId="4957544C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</w:tcPr>
          <w:p w14:paraId="3649D1C9" w14:textId="77777777" w:rsidR="008431A7" w:rsidRPr="00240BA4" w:rsidRDefault="008431A7" w:rsidP="00390725">
            <w:pPr>
              <w:jc w:val="left"/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5598" w:type="dxa"/>
          </w:tcPr>
          <w:p w14:paraId="4901CE42" w14:textId="77777777" w:rsidR="00F14E25" w:rsidRPr="00F14E25" w:rsidRDefault="00F14E25" w:rsidP="0059670D">
            <w:pPr>
              <w:jc w:val="left"/>
              <w:rPr>
                <w:rFonts w:asciiTheme="minorHAnsi" w:hAnsiTheme="minorHAnsi"/>
              </w:rPr>
            </w:pPr>
          </w:p>
        </w:tc>
      </w:tr>
      <w:tr w:rsidR="008431A7" w:rsidRPr="00240BA4" w14:paraId="5A9EFE25" w14:textId="77777777" w:rsidTr="00A12879">
        <w:trPr>
          <w:trHeight w:val="633"/>
          <w:jc w:val="right"/>
        </w:trPr>
        <w:tc>
          <w:tcPr>
            <w:tcW w:w="2505" w:type="dxa"/>
            <w:vMerge/>
            <w:shd w:val="clear" w:color="auto" w:fill="auto"/>
          </w:tcPr>
          <w:p w14:paraId="2985270D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</w:tcPr>
          <w:p w14:paraId="7437E906" w14:textId="77777777" w:rsidR="008431A7" w:rsidRPr="00240BA4" w:rsidRDefault="008431A7" w:rsidP="00390725">
            <w:pPr>
              <w:jc w:val="left"/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5598" w:type="dxa"/>
          </w:tcPr>
          <w:p w14:paraId="1FF37A13" w14:textId="77777777" w:rsidR="007A518F" w:rsidRPr="00240BA4" w:rsidRDefault="007A518F" w:rsidP="007A518F">
            <w:pPr>
              <w:tabs>
                <w:tab w:val="left" w:pos="1260"/>
              </w:tabs>
              <w:jc w:val="left"/>
              <w:rPr>
                <w:rFonts w:asciiTheme="minorHAnsi" w:hAnsiTheme="minorHAnsi"/>
                <w:lang w:bidi="ar-IQ"/>
              </w:rPr>
            </w:pPr>
          </w:p>
        </w:tc>
      </w:tr>
      <w:tr w:rsidR="008431A7" w:rsidRPr="00240BA4" w14:paraId="16859759" w14:textId="77777777" w:rsidTr="00050BBF">
        <w:trPr>
          <w:trHeight w:val="633"/>
          <w:jc w:val="right"/>
        </w:trPr>
        <w:tc>
          <w:tcPr>
            <w:tcW w:w="2505" w:type="dxa"/>
            <w:vMerge/>
            <w:shd w:val="clear" w:color="auto" w:fill="auto"/>
          </w:tcPr>
          <w:p w14:paraId="2088CA14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</w:tcPr>
          <w:p w14:paraId="3ABD25AD" w14:textId="77777777" w:rsidR="008431A7" w:rsidRPr="00240BA4" w:rsidRDefault="008431A7" w:rsidP="00390725">
            <w:pPr>
              <w:jc w:val="left"/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5598" w:type="dxa"/>
          </w:tcPr>
          <w:p w14:paraId="055B3179" w14:textId="77777777" w:rsidR="007A518F" w:rsidRPr="00240BA4" w:rsidRDefault="007A518F" w:rsidP="0059670D">
            <w:pPr>
              <w:jc w:val="left"/>
              <w:rPr>
                <w:rFonts w:asciiTheme="minorHAnsi" w:hAnsiTheme="minorHAnsi"/>
                <w:lang w:bidi="ar-IQ"/>
              </w:rPr>
            </w:pPr>
          </w:p>
        </w:tc>
      </w:tr>
      <w:tr w:rsidR="008431A7" w:rsidRPr="00240BA4" w14:paraId="602C11B5" w14:textId="77777777" w:rsidTr="0033766B">
        <w:trPr>
          <w:trHeight w:val="638"/>
          <w:jc w:val="right"/>
        </w:trPr>
        <w:tc>
          <w:tcPr>
            <w:tcW w:w="2505" w:type="dxa"/>
            <w:vMerge/>
            <w:shd w:val="clear" w:color="auto" w:fill="auto"/>
          </w:tcPr>
          <w:p w14:paraId="1E0BE124" w14:textId="77777777" w:rsidR="008431A7" w:rsidRPr="00240BA4" w:rsidRDefault="008431A7" w:rsidP="00EE796E">
            <w:pPr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990" w:type="dxa"/>
          </w:tcPr>
          <w:p w14:paraId="48C8D135" w14:textId="77777777" w:rsidR="008431A7" w:rsidRPr="00240BA4" w:rsidRDefault="008431A7" w:rsidP="00390725">
            <w:pPr>
              <w:jc w:val="left"/>
              <w:rPr>
                <w:rFonts w:asciiTheme="minorHAnsi" w:hAnsiTheme="minorHAnsi"/>
                <w:lang w:bidi="ar-IQ"/>
              </w:rPr>
            </w:pPr>
          </w:p>
        </w:tc>
        <w:tc>
          <w:tcPr>
            <w:tcW w:w="5598" w:type="dxa"/>
          </w:tcPr>
          <w:p w14:paraId="5B0EC1C2" w14:textId="77777777" w:rsidR="008431A7" w:rsidRPr="00A65C85" w:rsidRDefault="008431A7" w:rsidP="00E96393">
            <w:pPr>
              <w:jc w:val="left"/>
              <w:rPr>
                <w:rFonts w:asciiTheme="minorHAnsi" w:hAnsiTheme="minorHAnsi"/>
                <w:lang w:bidi="ar-IQ"/>
              </w:rPr>
            </w:pPr>
          </w:p>
        </w:tc>
      </w:tr>
    </w:tbl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464"/>
      </w:tblGrid>
      <w:tr w:rsidR="008D46A4" w:rsidRPr="00747A9A" w14:paraId="0976C8E5" w14:textId="77777777" w:rsidTr="009F7BEC">
        <w:tc>
          <w:tcPr>
            <w:tcW w:w="6629" w:type="dxa"/>
            <w:tcBorders>
              <w:top w:val="single" w:sz="8" w:space="0" w:color="auto"/>
            </w:tcBorders>
          </w:tcPr>
          <w:p w14:paraId="15B02B9E" w14:textId="77777777"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2285FE3A" w14:textId="77777777" w:rsidR="008D46A4" w:rsidRPr="00747A9A" w:rsidRDefault="008431A7" w:rsidP="008431A7">
            <w:pPr>
              <w:spacing w:after="0" w:line="240" w:lineRule="auto"/>
              <w:jc w:val="center"/>
              <w:rPr>
                <w:sz w:val="28"/>
                <w:szCs w:val="28"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Week</w:t>
            </w:r>
          </w:p>
        </w:tc>
      </w:tr>
      <w:tr w:rsidR="008D46A4" w:rsidRPr="00747A9A" w14:paraId="13DAD275" w14:textId="77777777" w:rsidTr="000144CC">
        <w:tc>
          <w:tcPr>
            <w:tcW w:w="6629" w:type="dxa"/>
          </w:tcPr>
          <w:p w14:paraId="2D05BA28" w14:textId="77777777" w:rsidR="008D46A4" w:rsidRPr="009F462E" w:rsidRDefault="00CB6D8E" w:rsidP="008834C6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 xml:space="preserve">An introduction to quality control </w:t>
            </w:r>
          </w:p>
        </w:tc>
        <w:tc>
          <w:tcPr>
            <w:tcW w:w="2464" w:type="dxa"/>
          </w:tcPr>
          <w:p w14:paraId="4FC35683" w14:textId="77777777" w:rsidR="008D46A4" w:rsidRPr="008431A7" w:rsidRDefault="008431A7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 w:rsidRPr="008431A7">
              <w:rPr>
                <w:sz w:val="20"/>
                <w:szCs w:val="20"/>
                <w:lang w:bidi="ar-KW"/>
              </w:rPr>
              <w:t>1</w:t>
            </w:r>
          </w:p>
        </w:tc>
      </w:tr>
      <w:tr w:rsidR="006A7AAD" w:rsidRPr="00747A9A" w14:paraId="658B6E78" w14:textId="77777777" w:rsidTr="000144CC">
        <w:tc>
          <w:tcPr>
            <w:tcW w:w="6629" w:type="dxa"/>
          </w:tcPr>
          <w:p w14:paraId="4CC89770" w14:textId="77777777" w:rsidR="006A7AAD" w:rsidRDefault="006A7AAD" w:rsidP="006A7AAD">
            <w:pPr>
              <w:spacing w:after="0" w:line="240" w:lineRule="auto"/>
              <w:rPr>
                <w:rFonts w:asciiTheme="minorHAnsi" w:hAnsiTheme="minorHAnsi"/>
                <w:lang w:bidi="ar-IQ"/>
              </w:rPr>
            </w:pPr>
            <w:r>
              <w:rPr>
                <w:rFonts w:asciiTheme="minorHAnsi" w:hAnsiTheme="minorHAnsi"/>
                <w:lang w:bidi="ar-IQ"/>
              </w:rPr>
              <w:t>Determination of sugar content in commercial beverages by density</w:t>
            </w:r>
          </w:p>
        </w:tc>
        <w:tc>
          <w:tcPr>
            <w:tcW w:w="2464" w:type="dxa"/>
          </w:tcPr>
          <w:p w14:paraId="466681B9" w14:textId="77777777" w:rsidR="006A7AAD" w:rsidRPr="008431A7" w:rsidRDefault="006A7AAD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2</w:t>
            </w:r>
          </w:p>
        </w:tc>
      </w:tr>
      <w:tr w:rsidR="006A7AAD" w:rsidRPr="00747A9A" w14:paraId="66113793" w14:textId="77777777" w:rsidTr="000144CC">
        <w:tc>
          <w:tcPr>
            <w:tcW w:w="6629" w:type="dxa"/>
          </w:tcPr>
          <w:p w14:paraId="3119F0C0" w14:textId="77777777" w:rsidR="006A7AAD" w:rsidRDefault="006A7AAD" w:rsidP="006A7AAD">
            <w:pPr>
              <w:spacing w:after="0" w:line="240" w:lineRule="auto"/>
              <w:rPr>
                <w:rFonts w:asciiTheme="minorHAnsi" w:hAnsiTheme="minorHAnsi"/>
                <w:lang w:bidi="ar-IQ"/>
              </w:rPr>
            </w:pPr>
            <w:r w:rsidRPr="003B54B9">
              <w:rPr>
                <w:sz w:val="20"/>
                <w:szCs w:val="20"/>
                <w:lang w:bidi="ar-IQ"/>
              </w:rPr>
              <w:t xml:space="preserve">Assay of </w:t>
            </w:r>
            <w:proofErr w:type="spellStart"/>
            <w:r w:rsidRPr="003B54B9">
              <w:rPr>
                <w:sz w:val="20"/>
                <w:szCs w:val="20"/>
                <w:lang w:bidi="ar-IQ"/>
              </w:rPr>
              <w:t>l</w:t>
            </w:r>
            <w:r>
              <w:rPr>
                <w:sz w:val="20"/>
                <w:szCs w:val="20"/>
                <w:lang w:bidi="ar-IQ"/>
              </w:rPr>
              <w:t>buprofen</w:t>
            </w:r>
            <w:proofErr w:type="spellEnd"/>
            <w:r w:rsidRPr="003B54B9">
              <w:rPr>
                <w:sz w:val="20"/>
                <w:szCs w:val="20"/>
                <w:lang w:bidi="ar-IQ"/>
              </w:rPr>
              <w:t xml:space="preserve"> in </w:t>
            </w:r>
            <w:r>
              <w:rPr>
                <w:sz w:val="20"/>
                <w:szCs w:val="20"/>
                <w:lang w:bidi="ar-IQ"/>
              </w:rPr>
              <w:t xml:space="preserve">ibuprofen </w:t>
            </w:r>
            <w:r w:rsidRPr="003B54B9">
              <w:rPr>
                <w:sz w:val="20"/>
                <w:szCs w:val="20"/>
                <w:lang w:bidi="ar-IQ"/>
              </w:rPr>
              <w:t xml:space="preserve">tablets by </w:t>
            </w:r>
            <w:r>
              <w:rPr>
                <w:sz w:val="20"/>
                <w:szCs w:val="20"/>
                <w:lang w:bidi="ar-IQ"/>
              </w:rPr>
              <w:t xml:space="preserve">Acid- </w:t>
            </w:r>
            <w:proofErr w:type="spellStart"/>
            <w:r>
              <w:rPr>
                <w:sz w:val="20"/>
                <w:szCs w:val="20"/>
                <w:lang w:bidi="ar-IQ"/>
              </w:rPr>
              <w:t>base</w:t>
            </w:r>
            <w:r w:rsidRPr="003B54B9">
              <w:rPr>
                <w:sz w:val="20"/>
                <w:szCs w:val="20"/>
                <w:lang w:bidi="ar-IQ"/>
              </w:rPr>
              <w:t>titration</w:t>
            </w:r>
            <w:proofErr w:type="spellEnd"/>
          </w:p>
        </w:tc>
        <w:tc>
          <w:tcPr>
            <w:tcW w:w="2464" w:type="dxa"/>
          </w:tcPr>
          <w:p w14:paraId="4B35B297" w14:textId="77777777" w:rsidR="006A7AAD" w:rsidRPr="008431A7" w:rsidRDefault="006A7AAD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3</w:t>
            </w:r>
          </w:p>
        </w:tc>
      </w:tr>
      <w:tr w:rsidR="001F19D3" w:rsidRPr="00747A9A" w14:paraId="0F02F62D" w14:textId="77777777" w:rsidTr="000144CC">
        <w:tc>
          <w:tcPr>
            <w:tcW w:w="6629" w:type="dxa"/>
          </w:tcPr>
          <w:p w14:paraId="3D8DF1BF" w14:textId="77777777" w:rsidR="001F19D3" w:rsidRPr="003B54B9" w:rsidRDefault="001F19D3" w:rsidP="006A7AAD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1F19D3">
              <w:rPr>
                <w:sz w:val="20"/>
                <w:szCs w:val="20"/>
                <w:lang w:bidi="ar-IQ"/>
              </w:rPr>
              <w:t xml:space="preserve">Assay of paracetamol in </w:t>
            </w:r>
            <w:proofErr w:type="spellStart"/>
            <w:r w:rsidRPr="001F19D3">
              <w:rPr>
                <w:sz w:val="20"/>
                <w:szCs w:val="20"/>
                <w:lang w:bidi="ar-IQ"/>
              </w:rPr>
              <w:t>paractamol</w:t>
            </w:r>
            <w:proofErr w:type="spellEnd"/>
            <w:r w:rsidRPr="001F19D3">
              <w:rPr>
                <w:sz w:val="20"/>
                <w:szCs w:val="20"/>
                <w:lang w:bidi="ar-IQ"/>
              </w:rPr>
              <w:t xml:space="preserve"> tablets by </w:t>
            </w:r>
            <w:proofErr w:type="spellStart"/>
            <w:r w:rsidRPr="001F19D3">
              <w:rPr>
                <w:sz w:val="20"/>
                <w:szCs w:val="20"/>
                <w:lang w:bidi="ar-IQ"/>
              </w:rPr>
              <w:t>Iodemetric</w:t>
            </w:r>
            <w:proofErr w:type="spellEnd"/>
            <w:r w:rsidRPr="001F19D3">
              <w:rPr>
                <w:sz w:val="20"/>
                <w:szCs w:val="20"/>
                <w:lang w:bidi="ar-IQ"/>
              </w:rPr>
              <w:t xml:space="preserve"> -titration</w:t>
            </w:r>
          </w:p>
        </w:tc>
        <w:tc>
          <w:tcPr>
            <w:tcW w:w="2464" w:type="dxa"/>
          </w:tcPr>
          <w:p w14:paraId="09800315" w14:textId="77777777" w:rsidR="001F19D3" w:rsidRDefault="001F19D3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4</w:t>
            </w:r>
          </w:p>
        </w:tc>
      </w:tr>
      <w:tr w:rsidR="001F19D3" w:rsidRPr="00747A9A" w14:paraId="223764B4" w14:textId="77777777" w:rsidTr="000144CC">
        <w:tc>
          <w:tcPr>
            <w:tcW w:w="6629" w:type="dxa"/>
          </w:tcPr>
          <w:p w14:paraId="7FAAE300" w14:textId="77777777" w:rsidR="001F19D3" w:rsidRPr="001F19D3" w:rsidRDefault="001F19D3" w:rsidP="00CB6D8E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6A7AAD">
              <w:rPr>
                <w:sz w:val="20"/>
                <w:szCs w:val="20"/>
                <w:lang w:bidi="ar-IQ"/>
              </w:rPr>
              <w:t xml:space="preserve">Assay of </w:t>
            </w:r>
            <w:proofErr w:type="spellStart"/>
            <w:r w:rsidRPr="006A7AAD">
              <w:rPr>
                <w:sz w:val="20"/>
                <w:szCs w:val="20"/>
                <w:lang w:bidi="ar-IQ"/>
              </w:rPr>
              <w:t>Furocemid</w:t>
            </w:r>
            <w:proofErr w:type="spellEnd"/>
            <w:r w:rsidRPr="006A7AAD">
              <w:rPr>
                <w:sz w:val="20"/>
                <w:szCs w:val="20"/>
                <w:lang w:bidi="ar-IQ"/>
              </w:rPr>
              <w:t xml:space="preserve"> (Lasix) in </w:t>
            </w:r>
            <w:proofErr w:type="spellStart"/>
            <w:r w:rsidRPr="006A7AAD">
              <w:rPr>
                <w:sz w:val="20"/>
                <w:szCs w:val="20"/>
                <w:lang w:bidi="ar-IQ"/>
              </w:rPr>
              <w:t>Furocemid</w:t>
            </w:r>
            <w:proofErr w:type="spellEnd"/>
            <w:r w:rsidRPr="006A7AAD">
              <w:rPr>
                <w:sz w:val="20"/>
                <w:szCs w:val="20"/>
                <w:lang w:bidi="ar-IQ"/>
              </w:rPr>
              <w:t xml:space="preserve"> tablets by Oxidation- reduction titration.</w:t>
            </w:r>
          </w:p>
        </w:tc>
        <w:tc>
          <w:tcPr>
            <w:tcW w:w="2464" w:type="dxa"/>
          </w:tcPr>
          <w:p w14:paraId="59D38237" w14:textId="77777777" w:rsidR="001F19D3" w:rsidRPr="008431A7" w:rsidRDefault="001F19D3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5</w:t>
            </w:r>
          </w:p>
        </w:tc>
      </w:tr>
      <w:tr w:rsidR="001F19D3" w:rsidRPr="00747A9A" w14:paraId="4062D7CD" w14:textId="77777777" w:rsidTr="000144CC">
        <w:tc>
          <w:tcPr>
            <w:tcW w:w="6629" w:type="dxa"/>
          </w:tcPr>
          <w:p w14:paraId="421F165F" w14:textId="77777777" w:rsidR="001F19D3" w:rsidRPr="009F462E" w:rsidRDefault="001F19D3" w:rsidP="00CB6D8E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Importance and measurement of PH of Solutions</w:t>
            </w:r>
          </w:p>
        </w:tc>
        <w:tc>
          <w:tcPr>
            <w:tcW w:w="2464" w:type="dxa"/>
          </w:tcPr>
          <w:p w14:paraId="3DAA1134" w14:textId="77777777" w:rsidR="001F19D3" w:rsidRPr="008431A7" w:rsidRDefault="001F19D3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6</w:t>
            </w:r>
          </w:p>
        </w:tc>
      </w:tr>
      <w:tr w:rsidR="001F19D3" w:rsidRPr="00747A9A" w14:paraId="783BCCAC" w14:textId="77777777" w:rsidTr="000144CC">
        <w:tc>
          <w:tcPr>
            <w:tcW w:w="6629" w:type="dxa"/>
          </w:tcPr>
          <w:p w14:paraId="2AFD9A22" w14:textId="77777777" w:rsidR="001F19D3" w:rsidRDefault="001F19D3" w:rsidP="00CB6D8E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Qualitative d</w:t>
            </w:r>
            <w:r w:rsidRPr="009F462E">
              <w:rPr>
                <w:sz w:val="20"/>
                <w:szCs w:val="20"/>
                <w:lang w:bidi="ar-IQ"/>
              </w:rPr>
              <w:t>etermination o</w:t>
            </w:r>
            <w:r>
              <w:rPr>
                <w:sz w:val="20"/>
                <w:szCs w:val="20"/>
                <w:lang w:bidi="ar-IQ"/>
              </w:rPr>
              <w:t>f Aspirin using UV Spectrophotometric technique</w:t>
            </w:r>
          </w:p>
        </w:tc>
        <w:tc>
          <w:tcPr>
            <w:tcW w:w="2464" w:type="dxa"/>
          </w:tcPr>
          <w:p w14:paraId="5E0EC8D7" w14:textId="77777777" w:rsidR="001F19D3" w:rsidRPr="008431A7" w:rsidRDefault="001F19D3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7</w:t>
            </w:r>
          </w:p>
        </w:tc>
      </w:tr>
      <w:tr w:rsidR="001F19D3" w:rsidRPr="00747A9A" w14:paraId="2B994005" w14:textId="77777777" w:rsidTr="000144CC">
        <w:tc>
          <w:tcPr>
            <w:tcW w:w="6629" w:type="dxa"/>
          </w:tcPr>
          <w:p w14:paraId="2927EA42" w14:textId="77777777" w:rsidR="001F19D3" w:rsidRDefault="001F19D3" w:rsidP="00CB6D8E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Spectrophotometric determination of Iron in vitamin tablets</w:t>
            </w:r>
          </w:p>
        </w:tc>
        <w:tc>
          <w:tcPr>
            <w:tcW w:w="2464" w:type="dxa"/>
          </w:tcPr>
          <w:p w14:paraId="7B529E8B" w14:textId="77777777" w:rsidR="001F19D3" w:rsidRPr="008431A7" w:rsidRDefault="001F19D3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8</w:t>
            </w:r>
          </w:p>
        </w:tc>
      </w:tr>
      <w:tr w:rsidR="001F19D3" w:rsidRPr="00747A9A" w14:paraId="72474B45" w14:textId="77777777" w:rsidTr="000144CC">
        <w:tc>
          <w:tcPr>
            <w:tcW w:w="6629" w:type="dxa"/>
          </w:tcPr>
          <w:p w14:paraId="3139CDAB" w14:textId="77777777" w:rsidR="001F19D3" w:rsidRPr="006A7AAD" w:rsidRDefault="001F19D3" w:rsidP="00CB6D8E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Spectrophotometric determination of acetyl salicylic acid in aspirin tablets</w:t>
            </w:r>
          </w:p>
        </w:tc>
        <w:tc>
          <w:tcPr>
            <w:tcW w:w="2464" w:type="dxa"/>
          </w:tcPr>
          <w:p w14:paraId="1193E866" w14:textId="77777777" w:rsidR="001F19D3" w:rsidRPr="008431A7" w:rsidRDefault="001F19D3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9</w:t>
            </w:r>
          </w:p>
        </w:tc>
      </w:tr>
      <w:tr w:rsidR="001F19D3" w:rsidRPr="00747A9A" w14:paraId="44080481" w14:textId="77777777" w:rsidTr="000144CC">
        <w:tc>
          <w:tcPr>
            <w:tcW w:w="6629" w:type="dxa"/>
          </w:tcPr>
          <w:p w14:paraId="341F9B71" w14:textId="77777777" w:rsidR="001F19D3" w:rsidRPr="006A7AAD" w:rsidRDefault="001F19D3" w:rsidP="00CB6D8E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asciiTheme="minorHAnsi" w:hAnsiTheme="minorHAnsi"/>
                <w:sz w:val="20"/>
                <w:szCs w:val="20"/>
                <w:lang w:bidi="ar-IQ"/>
              </w:rPr>
              <w:t>THE FIRST</w:t>
            </w:r>
            <w:r w:rsidRPr="009F462E">
              <w:rPr>
                <w:rFonts w:asciiTheme="minorHAnsi" w:hAnsiTheme="minorHAnsi"/>
                <w:sz w:val="20"/>
                <w:szCs w:val="20"/>
                <w:lang w:bidi="ar-IQ"/>
              </w:rPr>
              <w:t xml:space="preserve"> EXAME</w:t>
            </w:r>
          </w:p>
        </w:tc>
        <w:tc>
          <w:tcPr>
            <w:tcW w:w="2464" w:type="dxa"/>
          </w:tcPr>
          <w:p w14:paraId="3B9AFDD1" w14:textId="77777777" w:rsidR="001F19D3" w:rsidRPr="008431A7" w:rsidRDefault="001F19D3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10</w:t>
            </w:r>
          </w:p>
        </w:tc>
      </w:tr>
      <w:tr w:rsidR="001F19D3" w:rsidRPr="00747A9A" w14:paraId="7C6AC76D" w14:textId="77777777" w:rsidTr="000144CC">
        <w:tc>
          <w:tcPr>
            <w:tcW w:w="6629" w:type="dxa"/>
          </w:tcPr>
          <w:p w14:paraId="02A1B0F1" w14:textId="77777777" w:rsidR="001F19D3" w:rsidRDefault="001F19D3" w:rsidP="00CB6D8E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 xml:space="preserve">Determination of L-ascorbic acid in pharmaceutical preparations using UV spectrophotometry </w:t>
            </w:r>
          </w:p>
        </w:tc>
        <w:tc>
          <w:tcPr>
            <w:tcW w:w="2464" w:type="dxa"/>
          </w:tcPr>
          <w:p w14:paraId="100DCC7E" w14:textId="77777777" w:rsidR="001F19D3" w:rsidRDefault="001F19D3" w:rsidP="001F19D3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11</w:t>
            </w:r>
          </w:p>
        </w:tc>
      </w:tr>
      <w:tr w:rsidR="001F19D3" w:rsidRPr="00747A9A" w14:paraId="452D4A2C" w14:textId="77777777" w:rsidTr="000144CC">
        <w:tc>
          <w:tcPr>
            <w:tcW w:w="6629" w:type="dxa"/>
          </w:tcPr>
          <w:p w14:paraId="2771A6A5" w14:textId="77777777" w:rsidR="001F19D3" w:rsidRPr="009F462E" w:rsidRDefault="001F19D3" w:rsidP="008834C6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Two-Component analysis "</w:t>
            </w:r>
            <w:proofErr w:type="spellStart"/>
            <w:r>
              <w:rPr>
                <w:sz w:val="20"/>
                <w:szCs w:val="20"/>
                <w:lang w:bidi="ar-IQ"/>
              </w:rPr>
              <w:t>Vierord</w:t>
            </w:r>
            <w:proofErr w:type="spellEnd"/>
            <w:r>
              <w:rPr>
                <w:sz w:val="20"/>
                <w:szCs w:val="20"/>
                <w:lang w:bidi="ar-IQ"/>
              </w:rPr>
              <w:t xml:space="preserve"> method-simultaneous equation method" for a mixture of KMNO</w:t>
            </w:r>
            <w:proofErr w:type="gramStart"/>
            <w:r w:rsidRPr="003B54B9">
              <w:rPr>
                <w:sz w:val="20"/>
                <w:szCs w:val="20"/>
                <w:vertAlign w:val="subscript"/>
                <w:lang w:bidi="ar-IQ"/>
              </w:rPr>
              <w:t>4</w:t>
            </w:r>
            <w:r>
              <w:rPr>
                <w:sz w:val="20"/>
                <w:szCs w:val="20"/>
                <w:lang w:bidi="ar-IQ"/>
              </w:rPr>
              <w:t xml:space="preserve">  and</w:t>
            </w:r>
            <w:proofErr w:type="gramEnd"/>
            <w:r>
              <w:rPr>
                <w:sz w:val="20"/>
                <w:szCs w:val="20"/>
                <w:lang w:bidi="ar-IQ"/>
              </w:rPr>
              <w:t xml:space="preserve"> K</w:t>
            </w:r>
            <w:r w:rsidRPr="003B54B9">
              <w:rPr>
                <w:sz w:val="20"/>
                <w:szCs w:val="20"/>
                <w:vertAlign w:val="subscript"/>
                <w:lang w:bidi="ar-IQ"/>
              </w:rPr>
              <w:t>2</w:t>
            </w:r>
            <w:r>
              <w:rPr>
                <w:sz w:val="20"/>
                <w:szCs w:val="20"/>
                <w:lang w:bidi="ar-IQ"/>
              </w:rPr>
              <w:t>Cr</w:t>
            </w:r>
            <w:r w:rsidRPr="003B54B9">
              <w:rPr>
                <w:sz w:val="20"/>
                <w:szCs w:val="20"/>
                <w:vertAlign w:val="subscript"/>
                <w:lang w:bidi="ar-IQ"/>
              </w:rPr>
              <w:t>2</w:t>
            </w:r>
            <w:r>
              <w:rPr>
                <w:sz w:val="20"/>
                <w:szCs w:val="20"/>
                <w:lang w:bidi="ar-IQ"/>
              </w:rPr>
              <w:t>O</w:t>
            </w:r>
            <w:r w:rsidRPr="003B54B9">
              <w:rPr>
                <w:sz w:val="20"/>
                <w:szCs w:val="20"/>
                <w:vertAlign w:val="subscript"/>
                <w:lang w:bidi="ar-IQ"/>
              </w:rPr>
              <w:t>7</w:t>
            </w:r>
          </w:p>
        </w:tc>
        <w:tc>
          <w:tcPr>
            <w:tcW w:w="2464" w:type="dxa"/>
          </w:tcPr>
          <w:p w14:paraId="4E12E022" w14:textId="77777777" w:rsidR="001F19D3" w:rsidRPr="008431A7" w:rsidRDefault="001F19D3" w:rsidP="001F19D3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12</w:t>
            </w:r>
          </w:p>
        </w:tc>
      </w:tr>
      <w:tr w:rsidR="001F19D3" w:rsidRPr="00747A9A" w14:paraId="41C39903" w14:textId="77777777" w:rsidTr="000144CC">
        <w:tc>
          <w:tcPr>
            <w:tcW w:w="6629" w:type="dxa"/>
          </w:tcPr>
          <w:p w14:paraId="7583614F" w14:textId="77777777" w:rsidR="001F19D3" w:rsidRDefault="001F19D3" w:rsidP="008834C6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 xml:space="preserve">High performance liquid chromatography – principle </w:t>
            </w:r>
          </w:p>
        </w:tc>
        <w:tc>
          <w:tcPr>
            <w:tcW w:w="2464" w:type="dxa"/>
          </w:tcPr>
          <w:p w14:paraId="4C39000C" w14:textId="77777777" w:rsidR="001F19D3" w:rsidRDefault="001F19D3" w:rsidP="001F19D3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13</w:t>
            </w:r>
          </w:p>
        </w:tc>
      </w:tr>
      <w:tr w:rsidR="001F19D3" w:rsidRPr="00747A9A" w14:paraId="14692EEA" w14:textId="77777777" w:rsidTr="000144CC">
        <w:tc>
          <w:tcPr>
            <w:tcW w:w="6629" w:type="dxa"/>
          </w:tcPr>
          <w:p w14:paraId="07D1DAF7" w14:textId="77777777" w:rsidR="001F19D3" w:rsidRPr="009F462E" w:rsidRDefault="001F19D3" w:rsidP="008834C6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Quantitative estimation of amlodipine by HPLC</w:t>
            </w:r>
          </w:p>
        </w:tc>
        <w:tc>
          <w:tcPr>
            <w:tcW w:w="2464" w:type="dxa"/>
          </w:tcPr>
          <w:p w14:paraId="18C9E52A" w14:textId="77777777" w:rsidR="001F19D3" w:rsidRPr="008431A7" w:rsidRDefault="001F19D3" w:rsidP="001F19D3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14</w:t>
            </w:r>
          </w:p>
        </w:tc>
      </w:tr>
      <w:tr w:rsidR="001F19D3" w:rsidRPr="00747A9A" w14:paraId="6D32980A" w14:textId="77777777" w:rsidTr="000144CC">
        <w:tc>
          <w:tcPr>
            <w:tcW w:w="6629" w:type="dxa"/>
          </w:tcPr>
          <w:p w14:paraId="22397265" w14:textId="77777777" w:rsidR="001F19D3" w:rsidRPr="009F462E" w:rsidRDefault="001F19D3" w:rsidP="008834C6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 xml:space="preserve">Quantitative estimation of </w:t>
            </w:r>
            <w:proofErr w:type="spellStart"/>
            <w:r>
              <w:rPr>
                <w:sz w:val="20"/>
                <w:szCs w:val="20"/>
                <w:lang w:bidi="ar-IQ"/>
              </w:rPr>
              <w:t>dopsone</w:t>
            </w:r>
            <w:proofErr w:type="spellEnd"/>
            <w:r>
              <w:rPr>
                <w:sz w:val="20"/>
                <w:szCs w:val="20"/>
                <w:lang w:bidi="ar-IQ"/>
              </w:rPr>
              <w:t xml:space="preserve"> by HPLC</w:t>
            </w:r>
          </w:p>
        </w:tc>
        <w:tc>
          <w:tcPr>
            <w:tcW w:w="2464" w:type="dxa"/>
          </w:tcPr>
          <w:p w14:paraId="10E646B0" w14:textId="77777777" w:rsidR="001F19D3" w:rsidRPr="008431A7" w:rsidRDefault="001F19D3" w:rsidP="001F19D3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15</w:t>
            </w:r>
          </w:p>
        </w:tc>
      </w:tr>
      <w:tr w:rsidR="001F19D3" w:rsidRPr="00747A9A" w14:paraId="73A92FE7" w14:textId="77777777" w:rsidTr="000144CC">
        <w:tc>
          <w:tcPr>
            <w:tcW w:w="6629" w:type="dxa"/>
          </w:tcPr>
          <w:p w14:paraId="48FFAA1F" w14:textId="77777777" w:rsidR="001F19D3" w:rsidRPr="009F462E" w:rsidRDefault="001F19D3" w:rsidP="003B54B9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Quantitative estimation of sulfamethoxazole by HPLC</w:t>
            </w:r>
          </w:p>
        </w:tc>
        <w:tc>
          <w:tcPr>
            <w:tcW w:w="2464" w:type="dxa"/>
          </w:tcPr>
          <w:p w14:paraId="132E5615" w14:textId="77777777" w:rsidR="001F19D3" w:rsidRPr="008431A7" w:rsidRDefault="001F19D3" w:rsidP="001F19D3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16</w:t>
            </w:r>
          </w:p>
        </w:tc>
      </w:tr>
      <w:tr w:rsidR="001F19D3" w:rsidRPr="00747A9A" w14:paraId="45775A1D" w14:textId="77777777" w:rsidTr="000144CC">
        <w:tc>
          <w:tcPr>
            <w:tcW w:w="6629" w:type="dxa"/>
          </w:tcPr>
          <w:p w14:paraId="3C9FADAD" w14:textId="77777777" w:rsidR="001F19D3" w:rsidRPr="009F462E" w:rsidRDefault="001F19D3" w:rsidP="008834C6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2464" w:type="dxa"/>
          </w:tcPr>
          <w:p w14:paraId="54D689F5" w14:textId="77777777" w:rsidR="001F19D3" w:rsidRPr="008431A7" w:rsidRDefault="001F19D3" w:rsidP="001F19D3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</w:p>
        </w:tc>
      </w:tr>
      <w:tr w:rsidR="001F19D3" w:rsidRPr="00747A9A" w14:paraId="09988461" w14:textId="77777777" w:rsidTr="000144CC">
        <w:tc>
          <w:tcPr>
            <w:tcW w:w="6629" w:type="dxa"/>
          </w:tcPr>
          <w:p w14:paraId="0EC8E9C6" w14:textId="77777777" w:rsidR="001F19D3" w:rsidRPr="009F462E" w:rsidRDefault="001F19D3" w:rsidP="001647A7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2464" w:type="dxa"/>
          </w:tcPr>
          <w:p w14:paraId="4CBCFF3C" w14:textId="77777777" w:rsidR="001F19D3" w:rsidRPr="008431A7" w:rsidRDefault="001F19D3" w:rsidP="001F19D3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</w:p>
        </w:tc>
      </w:tr>
      <w:tr w:rsidR="001F19D3" w:rsidRPr="00747A9A" w14:paraId="0B10B326" w14:textId="77777777" w:rsidTr="00575F81">
        <w:trPr>
          <w:trHeight w:val="271"/>
        </w:trPr>
        <w:tc>
          <w:tcPr>
            <w:tcW w:w="6629" w:type="dxa"/>
          </w:tcPr>
          <w:p w14:paraId="3B1B4013" w14:textId="77777777" w:rsidR="001F19D3" w:rsidRPr="009F462E" w:rsidRDefault="001F19D3" w:rsidP="00E96393">
            <w:pPr>
              <w:tabs>
                <w:tab w:val="left" w:pos="13890"/>
              </w:tabs>
              <w:outlineLvl w:val="0"/>
              <w:rPr>
                <w:rFonts w:asciiTheme="minorHAnsi" w:hAnsiTheme="minorHAnsi"/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NMR-</w:t>
            </w:r>
            <w:proofErr w:type="spellStart"/>
            <w:r>
              <w:rPr>
                <w:sz w:val="20"/>
                <w:szCs w:val="20"/>
                <w:lang w:bidi="ar-IQ"/>
              </w:rPr>
              <w:t>Priciple</w:t>
            </w:r>
            <w:proofErr w:type="spellEnd"/>
          </w:p>
        </w:tc>
        <w:tc>
          <w:tcPr>
            <w:tcW w:w="2464" w:type="dxa"/>
          </w:tcPr>
          <w:p w14:paraId="1F75F3A5" w14:textId="77777777" w:rsidR="001F19D3" w:rsidRPr="008431A7" w:rsidRDefault="001F19D3" w:rsidP="001F19D3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19</w:t>
            </w:r>
          </w:p>
        </w:tc>
      </w:tr>
      <w:tr w:rsidR="001F19D3" w:rsidRPr="00747A9A" w14:paraId="1A94063F" w14:textId="77777777" w:rsidTr="000144CC">
        <w:tc>
          <w:tcPr>
            <w:tcW w:w="6629" w:type="dxa"/>
          </w:tcPr>
          <w:p w14:paraId="1AB560BE" w14:textId="77777777" w:rsidR="001F19D3" w:rsidRPr="009F462E" w:rsidRDefault="001F19D3" w:rsidP="003B54B9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9F462E">
              <w:rPr>
                <w:rFonts w:asciiTheme="minorHAnsi" w:hAnsiTheme="minorHAnsi"/>
                <w:sz w:val="20"/>
                <w:szCs w:val="20"/>
                <w:lang w:bidi="ar-IQ"/>
              </w:rPr>
              <w:lastRenderedPageBreak/>
              <w:t>THE SECOND EXAME</w:t>
            </w:r>
          </w:p>
        </w:tc>
        <w:tc>
          <w:tcPr>
            <w:tcW w:w="2464" w:type="dxa"/>
          </w:tcPr>
          <w:p w14:paraId="3B4D2BBF" w14:textId="77777777" w:rsidR="001F19D3" w:rsidRPr="008431A7" w:rsidRDefault="001F19D3" w:rsidP="00575F81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20</w:t>
            </w:r>
          </w:p>
        </w:tc>
      </w:tr>
      <w:tr w:rsidR="001F19D3" w:rsidRPr="00747A9A" w14:paraId="4671837E" w14:textId="77777777" w:rsidTr="000144CC">
        <w:tc>
          <w:tcPr>
            <w:tcW w:w="6629" w:type="dxa"/>
          </w:tcPr>
          <w:p w14:paraId="3BC059C8" w14:textId="77777777" w:rsidR="001F19D3" w:rsidRPr="001647A7" w:rsidRDefault="001F19D3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5D411EA7" w14:textId="77777777" w:rsidR="001F19D3" w:rsidRPr="009F462E" w:rsidRDefault="001F19D3" w:rsidP="003B54B9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>
              <w:rPr>
                <w:rFonts w:ascii="Times-Roman" w:eastAsia="Times-Roman" w:hAnsi="Formata-Bold" w:cs="Times-Roman"/>
                <w:color w:val="000000"/>
                <w:sz w:val="20"/>
                <w:szCs w:val="20"/>
              </w:rPr>
              <w:t>Will be covered in the lectures</w:t>
            </w:r>
          </w:p>
        </w:tc>
        <w:tc>
          <w:tcPr>
            <w:tcW w:w="2464" w:type="dxa"/>
          </w:tcPr>
          <w:p w14:paraId="2641D412" w14:textId="77777777" w:rsidR="001F19D3" w:rsidRPr="008431A7" w:rsidRDefault="001F19D3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>
              <w:rPr>
                <w:sz w:val="20"/>
                <w:szCs w:val="20"/>
                <w:lang w:bidi="ar-KW"/>
              </w:rPr>
              <w:t>20</w:t>
            </w:r>
          </w:p>
        </w:tc>
      </w:tr>
      <w:tr w:rsidR="001F19D3" w:rsidRPr="00747A9A" w14:paraId="34B1816D" w14:textId="77777777" w:rsidTr="000144CC">
        <w:tc>
          <w:tcPr>
            <w:tcW w:w="6629" w:type="dxa"/>
          </w:tcPr>
          <w:p w14:paraId="0BCE4128" w14:textId="77777777" w:rsidR="001F19D3" w:rsidRDefault="001F19D3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02A660D8" w14:textId="77777777" w:rsidR="001F19D3" w:rsidRPr="009F462E" w:rsidRDefault="001F19D3" w:rsidP="00E96393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2464" w:type="dxa"/>
          </w:tcPr>
          <w:p w14:paraId="43DDF29E" w14:textId="77777777" w:rsidR="001F19D3" w:rsidRPr="008431A7" w:rsidRDefault="001F19D3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</w:p>
        </w:tc>
      </w:tr>
      <w:tr w:rsidR="001F19D3" w:rsidRPr="00747A9A" w14:paraId="141B3287" w14:textId="77777777" w:rsidTr="000144CC">
        <w:tc>
          <w:tcPr>
            <w:tcW w:w="6629" w:type="dxa"/>
          </w:tcPr>
          <w:p w14:paraId="18BEFDE7" w14:textId="77777777" w:rsidR="001F19D3" w:rsidRPr="00C857AF" w:rsidRDefault="001F19D3" w:rsidP="00DD3329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21. Peer review </w:t>
            </w:r>
          </w:p>
          <w:p w14:paraId="721F4F72" w14:textId="77777777" w:rsidR="001F19D3" w:rsidRPr="009F462E" w:rsidRDefault="001F19D3" w:rsidP="00A54CBA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  <w:r w:rsidRPr="00A22A69">
              <w:rPr>
                <w:sz w:val="24"/>
                <w:szCs w:val="24"/>
                <w:lang w:val="en-US" w:bidi="ar-KW"/>
              </w:rPr>
              <w:t>Curriculum</w:t>
            </w:r>
            <w:r>
              <w:rPr>
                <w:sz w:val="24"/>
                <w:szCs w:val="24"/>
                <w:lang w:val="en-US" w:bidi="ar-KW"/>
              </w:rPr>
              <w:t xml:space="preserve"> and</w:t>
            </w:r>
            <w:r w:rsidRPr="00A22A69">
              <w:rPr>
                <w:sz w:val="24"/>
                <w:szCs w:val="24"/>
                <w:lang w:val="en-US" w:bidi="ar-KW"/>
              </w:rPr>
              <w:t xml:space="preserve"> course scheduling</w:t>
            </w:r>
            <w:r>
              <w:rPr>
                <w:sz w:val="24"/>
                <w:szCs w:val="24"/>
                <w:lang w:val="en-US" w:bidi="ar-KW"/>
              </w:rPr>
              <w:t xml:space="preserve"> were peer reviewed.</w:t>
            </w:r>
          </w:p>
        </w:tc>
        <w:tc>
          <w:tcPr>
            <w:tcW w:w="2464" w:type="dxa"/>
          </w:tcPr>
          <w:p w14:paraId="3637C206" w14:textId="77777777" w:rsidR="001F19D3" w:rsidRPr="008431A7" w:rsidRDefault="001F19D3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 w:rsidRPr="008431A7">
              <w:rPr>
                <w:sz w:val="20"/>
                <w:szCs w:val="20"/>
                <w:lang w:bidi="ar-KW"/>
              </w:rPr>
              <w:t>18</w:t>
            </w:r>
          </w:p>
        </w:tc>
      </w:tr>
      <w:tr w:rsidR="001F19D3" w:rsidRPr="00747A9A" w14:paraId="4458F17F" w14:textId="77777777" w:rsidTr="000144CC">
        <w:tc>
          <w:tcPr>
            <w:tcW w:w="6629" w:type="dxa"/>
          </w:tcPr>
          <w:p w14:paraId="726E306B" w14:textId="77777777" w:rsidR="001F19D3" w:rsidRPr="009F462E" w:rsidRDefault="001F19D3" w:rsidP="00A54CBA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2464" w:type="dxa"/>
          </w:tcPr>
          <w:p w14:paraId="08446EBD" w14:textId="77777777" w:rsidR="001F19D3" w:rsidRPr="008431A7" w:rsidRDefault="001F19D3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 w:rsidRPr="008431A7">
              <w:rPr>
                <w:sz w:val="20"/>
                <w:szCs w:val="20"/>
                <w:lang w:bidi="ar-KW"/>
              </w:rPr>
              <w:t>19</w:t>
            </w:r>
          </w:p>
        </w:tc>
      </w:tr>
      <w:tr w:rsidR="001F19D3" w:rsidRPr="00747A9A" w14:paraId="516A037D" w14:textId="77777777" w:rsidTr="000144CC">
        <w:tc>
          <w:tcPr>
            <w:tcW w:w="6629" w:type="dxa"/>
          </w:tcPr>
          <w:p w14:paraId="23356EC1" w14:textId="77777777" w:rsidR="001F19D3" w:rsidRPr="009F462E" w:rsidRDefault="001F19D3" w:rsidP="00E96393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2464" w:type="dxa"/>
          </w:tcPr>
          <w:p w14:paraId="53E69EE1" w14:textId="77777777" w:rsidR="001F19D3" w:rsidRPr="008431A7" w:rsidRDefault="001F19D3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  <w:r w:rsidRPr="008431A7">
              <w:rPr>
                <w:sz w:val="20"/>
                <w:szCs w:val="20"/>
                <w:lang w:bidi="ar-KW"/>
              </w:rPr>
              <w:t>20</w:t>
            </w:r>
          </w:p>
        </w:tc>
      </w:tr>
      <w:tr w:rsidR="001F19D3" w:rsidRPr="00747A9A" w14:paraId="420C81BB" w14:textId="77777777" w:rsidTr="000144CC">
        <w:tc>
          <w:tcPr>
            <w:tcW w:w="6629" w:type="dxa"/>
          </w:tcPr>
          <w:p w14:paraId="6B14C5DF" w14:textId="77777777" w:rsidR="001F19D3" w:rsidRPr="009F462E" w:rsidRDefault="001F19D3" w:rsidP="00CC6B05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2464" w:type="dxa"/>
          </w:tcPr>
          <w:p w14:paraId="16F7F8B2" w14:textId="77777777" w:rsidR="001F19D3" w:rsidRPr="008431A7" w:rsidRDefault="001F19D3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</w:p>
        </w:tc>
      </w:tr>
      <w:tr w:rsidR="001F19D3" w:rsidRPr="00747A9A" w14:paraId="3A1BCE55" w14:textId="77777777" w:rsidTr="000144CC">
        <w:tc>
          <w:tcPr>
            <w:tcW w:w="6629" w:type="dxa"/>
          </w:tcPr>
          <w:p w14:paraId="74D9BE31" w14:textId="77777777" w:rsidR="001F19D3" w:rsidRPr="009F462E" w:rsidRDefault="001F19D3" w:rsidP="00CC6B05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2464" w:type="dxa"/>
          </w:tcPr>
          <w:p w14:paraId="60626725" w14:textId="77777777" w:rsidR="001F19D3" w:rsidRPr="008431A7" w:rsidRDefault="001F19D3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</w:p>
        </w:tc>
      </w:tr>
      <w:tr w:rsidR="001F19D3" w:rsidRPr="00747A9A" w14:paraId="690867BB" w14:textId="77777777" w:rsidTr="000144CC">
        <w:tc>
          <w:tcPr>
            <w:tcW w:w="6629" w:type="dxa"/>
          </w:tcPr>
          <w:p w14:paraId="57C76F30" w14:textId="77777777" w:rsidR="001F19D3" w:rsidRPr="009F462E" w:rsidRDefault="001F19D3" w:rsidP="00CC6B05">
            <w:pPr>
              <w:spacing w:after="0" w:line="240" w:lineRule="auto"/>
              <w:rPr>
                <w:sz w:val="20"/>
                <w:szCs w:val="20"/>
                <w:lang w:bidi="ar-IQ"/>
              </w:rPr>
            </w:pPr>
          </w:p>
        </w:tc>
        <w:tc>
          <w:tcPr>
            <w:tcW w:w="2464" w:type="dxa"/>
          </w:tcPr>
          <w:p w14:paraId="19017C40" w14:textId="77777777" w:rsidR="001F19D3" w:rsidRPr="008431A7" w:rsidRDefault="001F19D3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</w:p>
        </w:tc>
      </w:tr>
      <w:tr w:rsidR="001F19D3" w:rsidRPr="00747A9A" w14:paraId="07115B44" w14:textId="77777777" w:rsidTr="000144CC">
        <w:tc>
          <w:tcPr>
            <w:tcW w:w="6629" w:type="dxa"/>
          </w:tcPr>
          <w:p w14:paraId="028071E4" w14:textId="77777777" w:rsidR="001F19D3" w:rsidRPr="009F462E" w:rsidRDefault="001F19D3" w:rsidP="00E96393">
            <w:pPr>
              <w:rPr>
                <w:rFonts w:asciiTheme="minorHAnsi" w:hAnsiTheme="minorHAnsi"/>
                <w:sz w:val="20"/>
                <w:szCs w:val="20"/>
                <w:lang w:bidi="ar-IQ"/>
              </w:rPr>
            </w:pPr>
          </w:p>
        </w:tc>
        <w:tc>
          <w:tcPr>
            <w:tcW w:w="2464" w:type="dxa"/>
          </w:tcPr>
          <w:p w14:paraId="149DDC19" w14:textId="77777777" w:rsidR="001F19D3" w:rsidRPr="008431A7" w:rsidRDefault="001F19D3" w:rsidP="008431A7">
            <w:pPr>
              <w:spacing w:after="0" w:line="240" w:lineRule="auto"/>
              <w:jc w:val="center"/>
              <w:rPr>
                <w:sz w:val="20"/>
                <w:szCs w:val="20"/>
                <w:lang w:bidi="ar-KW"/>
              </w:rPr>
            </w:pPr>
          </w:p>
        </w:tc>
      </w:tr>
      <w:tr w:rsidR="001F19D3" w:rsidRPr="00747A9A" w14:paraId="1C50A343" w14:textId="77777777" w:rsidTr="000144CC">
        <w:trPr>
          <w:trHeight w:val="732"/>
        </w:trPr>
        <w:tc>
          <w:tcPr>
            <w:tcW w:w="9093" w:type="dxa"/>
            <w:gridSpan w:val="2"/>
          </w:tcPr>
          <w:p w14:paraId="3FE70251" w14:textId="77777777" w:rsidR="001F19D3" w:rsidRPr="00A92A94" w:rsidRDefault="001F19D3" w:rsidP="00D60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eastAsia="Times-Roman" w:hAnsi="Formata-Bold" w:cs="Times-Roman"/>
                <w:color w:val="000000"/>
                <w:sz w:val="20"/>
                <w:szCs w:val="20"/>
              </w:rPr>
            </w:pPr>
          </w:p>
        </w:tc>
      </w:tr>
      <w:tr w:rsidR="001F19D3" w:rsidRPr="00747A9A" w14:paraId="34CD3475" w14:textId="77777777" w:rsidTr="000144CC">
        <w:trPr>
          <w:trHeight w:val="732"/>
        </w:trPr>
        <w:tc>
          <w:tcPr>
            <w:tcW w:w="9093" w:type="dxa"/>
            <w:gridSpan w:val="2"/>
          </w:tcPr>
          <w:p w14:paraId="5C93FFE7" w14:textId="77777777" w:rsidR="001F19D3" w:rsidRPr="00DF6A69" w:rsidRDefault="001F19D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1F19D3" w:rsidRPr="00747A9A" w14:paraId="38B5A9B1" w14:textId="77777777" w:rsidTr="000144CC">
        <w:trPr>
          <w:trHeight w:val="732"/>
        </w:trPr>
        <w:tc>
          <w:tcPr>
            <w:tcW w:w="9093" w:type="dxa"/>
            <w:gridSpan w:val="2"/>
          </w:tcPr>
          <w:p w14:paraId="3F6249CA" w14:textId="77777777" w:rsidR="001F19D3" w:rsidRPr="00961D90" w:rsidRDefault="001F19D3" w:rsidP="0057388F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</w:tr>
    </w:tbl>
    <w:p w14:paraId="2C3BC6F1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0C4BC4A6" w14:textId="77777777" w:rsidR="00E95307" w:rsidRPr="008D46A4" w:rsidRDefault="00E95307" w:rsidP="008D46A4">
      <w:pPr>
        <w:rPr>
          <w:lang w:val="en-US" w:bidi="ar-KW"/>
        </w:rPr>
      </w:pPr>
    </w:p>
    <w:sectPr w:rsidR="00E95307" w:rsidRPr="008D46A4" w:rsidSect="00800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7EFF" w14:textId="77777777" w:rsidR="00A456A1" w:rsidRDefault="00A456A1" w:rsidP="00483DD0">
      <w:pPr>
        <w:spacing w:after="0" w:line="240" w:lineRule="auto"/>
      </w:pPr>
      <w:r>
        <w:separator/>
      </w:r>
    </w:p>
  </w:endnote>
  <w:endnote w:type="continuationSeparator" w:id="0">
    <w:p w14:paraId="40BA597D" w14:textId="77777777" w:rsidR="00A456A1" w:rsidRDefault="00A456A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mpres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Format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2521" w14:textId="77777777"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2367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3E7B2CFD" w14:textId="77777777"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51DE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EDF1" w14:textId="77777777" w:rsidR="00A456A1" w:rsidRDefault="00A456A1" w:rsidP="00483DD0">
      <w:pPr>
        <w:spacing w:after="0" w:line="240" w:lineRule="auto"/>
      </w:pPr>
      <w:r>
        <w:separator/>
      </w:r>
    </w:p>
  </w:footnote>
  <w:footnote w:type="continuationSeparator" w:id="0">
    <w:p w14:paraId="337C8C9E" w14:textId="77777777" w:rsidR="00A456A1" w:rsidRDefault="00A456A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7756" w14:textId="77777777"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BB76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6B6B" w14:textId="77777777"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F3495"/>
    <w:multiLevelType w:val="hybridMultilevel"/>
    <w:tmpl w:val="0E9E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370E3"/>
    <w:multiLevelType w:val="hybridMultilevel"/>
    <w:tmpl w:val="0FDA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82040"/>
    <w:multiLevelType w:val="hybridMultilevel"/>
    <w:tmpl w:val="E100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F2D70"/>
    <w:multiLevelType w:val="hybridMultilevel"/>
    <w:tmpl w:val="BC9ADC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05E2B"/>
    <w:multiLevelType w:val="hybridMultilevel"/>
    <w:tmpl w:val="AB5A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C52BA"/>
    <w:multiLevelType w:val="hybridMultilevel"/>
    <w:tmpl w:val="57862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47C50"/>
    <w:multiLevelType w:val="hybridMultilevel"/>
    <w:tmpl w:val="C84A5D9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E18C1"/>
    <w:multiLevelType w:val="hybridMultilevel"/>
    <w:tmpl w:val="C2B2A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3B2A73"/>
    <w:multiLevelType w:val="hybridMultilevel"/>
    <w:tmpl w:val="8FA42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E6B4C"/>
    <w:multiLevelType w:val="hybridMultilevel"/>
    <w:tmpl w:val="C84A5D9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5271749">
    <w:abstractNumId w:val="0"/>
  </w:num>
  <w:num w:numId="2" w16cid:durableId="828981458">
    <w:abstractNumId w:val="18"/>
  </w:num>
  <w:num w:numId="3" w16cid:durableId="1250775931">
    <w:abstractNumId w:val="1"/>
  </w:num>
  <w:num w:numId="4" w16cid:durableId="1221525779">
    <w:abstractNumId w:val="15"/>
  </w:num>
  <w:num w:numId="5" w16cid:durableId="1684671640">
    <w:abstractNumId w:val="16"/>
  </w:num>
  <w:num w:numId="6" w16cid:durableId="925000659">
    <w:abstractNumId w:val="9"/>
  </w:num>
  <w:num w:numId="7" w16cid:durableId="1885940315">
    <w:abstractNumId w:val="4"/>
  </w:num>
  <w:num w:numId="8" w16cid:durableId="159776873">
    <w:abstractNumId w:val="12"/>
  </w:num>
  <w:num w:numId="9" w16cid:durableId="449595429">
    <w:abstractNumId w:val="3"/>
  </w:num>
  <w:num w:numId="10" w16cid:durableId="1493787687">
    <w:abstractNumId w:val="14"/>
  </w:num>
  <w:num w:numId="11" w16cid:durableId="1468623468">
    <w:abstractNumId w:val="5"/>
  </w:num>
  <w:num w:numId="12" w16cid:durableId="1373463311">
    <w:abstractNumId w:val="2"/>
  </w:num>
  <w:num w:numId="13" w16cid:durableId="1921059143">
    <w:abstractNumId w:val="10"/>
  </w:num>
  <w:num w:numId="14" w16cid:durableId="1009602485">
    <w:abstractNumId w:val="19"/>
  </w:num>
  <w:num w:numId="15" w16cid:durableId="804544332">
    <w:abstractNumId w:val="8"/>
  </w:num>
  <w:num w:numId="16" w16cid:durableId="1981760719">
    <w:abstractNumId w:val="6"/>
  </w:num>
  <w:num w:numId="17" w16cid:durableId="301276523">
    <w:abstractNumId w:val="7"/>
  </w:num>
  <w:num w:numId="18" w16cid:durableId="1388412873">
    <w:abstractNumId w:val="17"/>
  </w:num>
  <w:num w:numId="19" w16cid:durableId="407195977">
    <w:abstractNumId w:val="11"/>
  </w:num>
  <w:num w:numId="20" w16cid:durableId="979071880">
    <w:abstractNumId w:val="13"/>
  </w:num>
  <w:num w:numId="21" w16cid:durableId="10738880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zSxNDYzNjE2MTFX0lEKTi0uzszPAykwrAUAUxIMzCwAAAA="/>
  </w:docVars>
  <w:rsids>
    <w:rsidRoot w:val="008D46A4"/>
    <w:rsid w:val="00001B33"/>
    <w:rsid w:val="00010DF7"/>
    <w:rsid w:val="00020A9C"/>
    <w:rsid w:val="00050BBF"/>
    <w:rsid w:val="00062712"/>
    <w:rsid w:val="00074ECB"/>
    <w:rsid w:val="000B43BB"/>
    <w:rsid w:val="000B5662"/>
    <w:rsid w:val="000B7F1B"/>
    <w:rsid w:val="000C29A1"/>
    <w:rsid w:val="000D3C9B"/>
    <w:rsid w:val="000D3E1C"/>
    <w:rsid w:val="000E0060"/>
    <w:rsid w:val="000F0683"/>
    <w:rsid w:val="000F2337"/>
    <w:rsid w:val="00115A6E"/>
    <w:rsid w:val="001403FB"/>
    <w:rsid w:val="0014773B"/>
    <w:rsid w:val="001647A7"/>
    <w:rsid w:val="00164CB4"/>
    <w:rsid w:val="001A742C"/>
    <w:rsid w:val="001B7DCB"/>
    <w:rsid w:val="001C3072"/>
    <w:rsid w:val="001F19D3"/>
    <w:rsid w:val="00235375"/>
    <w:rsid w:val="0025284B"/>
    <w:rsid w:val="00265D31"/>
    <w:rsid w:val="002759E7"/>
    <w:rsid w:val="002772AB"/>
    <w:rsid w:val="002810E5"/>
    <w:rsid w:val="00287E41"/>
    <w:rsid w:val="002B7CC7"/>
    <w:rsid w:val="002E68F0"/>
    <w:rsid w:val="002F44B8"/>
    <w:rsid w:val="002F633F"/>
    <w:rsid w:val="003013D3"/>
    <w:rsid w:val="0030694A"/>
    <w:rsid w:val="00311CF4"/>
    <w:rsid w:val="0032646B"/>
    <w:rsid w:val="0033766B"/>
    <w:rsid w:val="003656B0"/>
    <w:rsid w:val="003801BB"/>
    <w:rsid w:val="00384A79"/>
    <w:rsid w:val="00387B82"/>
    <w:rsid w:val="003A06C8"/>
    <w:rsid w:val="003A3FBD"/>
    <w:rsid w:val="003B2659"/>
    <w:rsid w:val="003B54B9"/>
    <w:rsid w:val="003C77A8"/>
    <w:rsid w:val="003D0466"/>
    <w:rsid w:val="003D7364"/>
    <w:rsid w:val="003E0427"/>
    <w:rsid w:val="003E0C82"/>
    <w:rsid w:val="003F768F"/>
    <w:rsid w:val="0041284A"/>
    <w:rsid w:val="00436391"/>
    <w:rsid w:val="00441BF4"/>
    <w:rsid w:val="00455144"/>
    <w:rsid w:val="00456490"/>
    <w:rsid w:val="0047095B"/>
    <w:rsid w:val="0047135F"/>
    <w:rsid w:val="00483DD0"/>
    <w:rsid w:val="0048748C"/>
    <w:rsid w:val="004C0EE4"/>
    <w:rsid w:val="004C1E9B"/>
    <w:rsid w:val="004E1017"/>
    <w:rsid w:val="00536A1E"/>
    <w:rsid w:val="005658DE"/>
    <w:rsid w:val="0057388F"/>
    <w:rsid w:val="005748DF"/>
    <w:rsid w:val="00575F81"/>
    <w:rsid w:val="00576623"/>
    <w:rsid w:val="0059670D"/>
    <w:rsid w:val="005C0550"/>
    <w:rsid w:val="005C0C0C"/>
    <w:rsid w:val="005E07E4"/>
    <w:rsid w:val="00634F2B"/>
    <w:rsid w:val="0066029E"/>
    <w:rsid w:val="006766CD"/>
    <w:rsid w:val="00686FB2"/>
    <w:rsid w:val="00695467"/>
    <w:rsid w:val="006A5630"/>
    <w:rsid w:val="006A57BA"/>
    <w:rsid w:val="006A7AAD"/>
    <w:rsid w:val="006B675A"/>
    <w:rsid w:val="006B6B42"/>
    <w:rsid w:val="006C3B09"/>
    <w:rsid w:val="006F5726"/>
    <w:rsid w:val="00721298"/>
    <w:rsid w:val="00737CAC"/>
    <w:rsid w:val="0074431B"/>
    <w:rsid w:val="00770705"/>
    <w:rsid w:val="007A518F"/>
    <w:rsid w:val="007B7AB2"/>
    <w:rsid w:val="007C1D9E"/>
    <w:rsid w:val="007C338C"/>
    <w:rsid w:val="007C7D04"/>
    <w:rsid w:val="007F0899"/>
    <w:rsid w:val="0080086A"/>
    <w:rsid w:val="008079DE"/>
    <w:rsid w:val="00830EE6"/>
    <w:rsid w:val="008431A7"/>
    <w:rsid w:val="0087428B"/>
    <w:rsid w:val="008834C6"/>
    <w:rsid w:val="008B5077"/>
    <w:rsid w:val="008D46A4"/>
    <w:rsid w:val="00916B46"/>
    <w:rsid w:val="0093085F"/>
    <w:rsid w:val="009325A8"/>
    <w:rsid w:val="00934FAF"/>
    <w:rsid w:val="00955031"/>
    <w:rsid w:val="00961D90"/>
    <w:rsid w:val="0099025A"/>
    <w:rsid w:val="009A43AD"/>
    <w:rsid w:val="009A47BF"/>
    <w:rsid w:val="009B2E24"/>
    <w:rsid w:val="009C494B"/>
    <w:rsid w:val="009D30DF"/>
    <w:rsid w:val="009E4E3A"/>
    <w:rsid w:val="009F3CA0"/>
    <w:rsid w:val="009F462E"/>
    <w:rsid w:val="009F7BEC"/>
    <w:rsid w:val="00A005BF"/>
    <w:rsid w:val="00A12879"/>
    <w:rsid w:val="00A3133B"/>
    <w:rsid w:val="00A456A1"/>
    <w:rsid w:val="00A4644E"/>
    <w:rsid w:val="00A50CC6"/>
    <w:rsid w:val="00A54CBA"/>
    <w:rsid w:val="00A65C85"/>
    <w:rsid w:val="00A8555D"/>
    <w:rsid w:val="00A91EB7"/>
    <w:rsid w:val="00A92A94"/>
    <w:rsid w:val="00A97AEC"/>
    <w:rsid w:val="00AD609F"/>
    <w:rsid w:val="00AD68F9"/>
    <w:rsid w:val="00B341B9"/>
    <w:rsid w:val="00B3548F"/>
    <w:rsid w:val="00B35CDB"/>
    <w:rsid w:val="00B458C3"/>
    <w:rsid w:val="00B916A8"/>
    <w:rsid w:val="00BA1A30"/>
    <w:rsid w:val="00BC491D"/>
    <w:rsid w:val="00BD0F5B"/>
    <w:rsid w:val="00BD4A88"/>
    <w:rsid w:val="00C2669C"/>
    <w:rsid w:val="00C46D58"/>
    <w:rsid w:val="00C525DA"/>
    <w:rsid w:val="00C857AF"/>
    <w:rsid w:val="00CB6D8E"/>
    <w:rsid w:val="00CC5CD1"/>
    <w:rsid w:val="00CC6B05"/>
    <w:rsid w:val="00CD2F82"/>
    <w:rsid w:val="00CD5734"/>
    <w:rsid w:val="00CF5475"/>
    <w:rsid w:val="00D030A9"/>
    <w:rsid w:val="00D04160"/>
    <w:rsid w:val="00D44FFA"/>
    <w:rsid w:val="00D60164"/>
    <w:rsid w:val="00D73631"/>
    <w:rsid w:val="00D95444"/>
    <w:rsid w:val="00DB49EF"/>
    <w:rsid w:val="00DB4DFD"/>
    <w:rsid w:val="00DD3329"/>
    <w:rsid w:val="00DD6858"/>
    <w:rsid w:val="00DE2E9F"/>
    <w:rsid w:val="00DF6A69"/>
    <w:rsid w:val="00E454D4"/>
    <w:rsid w:val="00E61AD2"/>
    <w:rsid w:val="00E81DE6"/>
    <w:rsid w:val="00E873BC"/>
    <w:rsid w:val="00E95307"/>
    <w:rsid w:val="00EA1A05"/>
    <w:rsid w:val="00ED09B2"/>
    <w:rsid w:val="00ED3387"/>
    <w:rsid w:val="00ED3C56"/>
    <w:rsid w:val="00ED5490"/>
    <w:rsid w:val="00EE60FC"/>
    <w:rsid w:val="00EE7431"/>
    <w:rsid w:val="00F14120"/>
    <w:rsid w:val="00F14E25"/>
    <w:rsid w:val="00F16F61"/>
    <w:rsid w:val="00F3219E"/>
    <w:rsid w:val="00FB053E"/>
    <w:rsid w:val="00FB3F27"/>
    <w:rsid w:val="00FB7AFF"/>
    <w:rsid w:val="00FB7C7A"/>
    <w:rsid w:val="00FD0C49"/>
    <w:rsid w:val="00FD437F"/>
    <w:rsid w:val="00FE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9ED46"/>
  <w15:docId w15:val="{0BC028A3-CCC9-4501-AB70-68EF4CED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character" w:customStyle="1" w:styleId="shorttext">
    <w:name w:val="short_text"/>
    <w:basedOn w:val="DefaultParagraphFont"/>
    <w:rsid w:val="009F3CA0"/>
  </w:style>
  <w:style w:type="character" w:customStyle="1" w:styleId="hps">
    <w:name w:val="hps"/>
    <w:basedOn w:val="DefaultParagraphFont"/>
    <w:rsid w:val="009F3CA0"/>
  </w:style>
  <w:style w:type="paragraph" w:styleId="NormalWeb">
    <w:name w:val="Normal (Web)"/>
    <w:basedOn w:val="Normal"/>
    <w:uiPriority w:val="99"/>
    <w:unhideWhenUsed/>
    <w:rsid w:val="006B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A50CC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 Mazin Othman</cp:lastModifiedBy>
  <cp:revision>2</cp:revision>
  <cp:lastPrinted>2017-11-25T19:08:00Z</cp:lastPrinted>
  <dcterms:created xsi:type="dcterms:W3CDTF">2022-05-27T13:02:00Z</dcterms:created>
  <dcterms:modified xsi:type="dcterms:W3CDTF">2022-05-27T13:02:00Z</dcterms:modified>
</cp:coreProperties>
</file>