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6E" w:rsidRDefault="0019516E" w:rsidP="0019516E">
      <w:pPr>
        <w:ind w:firstLine="720"/>
        <w:rPr>
          <w:lang w:bidi="ar-SY"/>
        </w:rPr>
      </w:pPr>
      <w:r>
        <w:rPr>
          <w:noProof/>
          <w:lang w:bidi="ar-SA"/>
        </w:rPr>
        <w:drawing>
          <wp:anchor distT="0" distB="0" distL="114300" distR="114300" simplePos="0" relativeHeight="251659264" behindDoc="1" locked="0" layoutInCell="1" allowOverlap="1">
            <wp:simplePos x="0" y="0"/>
            <wp:positionH relativeFrom="margin">
              <wp:align>center</wp:align>
            </wp:positionH>
            <wp:positionV relativeFrom="paragraph">
              <wp:posOffset>1270</wp:posOffset>
            </wp:positionV>
            <wp:extent cx="809625" cy="809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Pr>
          <w:rtl/>
          <w:lang w:bidi="ar-SA"/>
        </w:rPr>
        <w:t xml:space="preserve"> </w:t>
      </w:r>
      <w:r>
        <w:rPr>
          <w:rtl/>
          <w:lang w:bidi="ar-SY"/>
        </w:rPr>
        <w:t>ڕێکخراوی شافعی</w:t>
      </w:r>
      <w:r>
        <w:rPr>
          <w:rtl/>
          <w:lang w:bidi="ar-SY"/>
        </w:rPr>
        <w:tab/>
      </w:r>
      <w:r>
        <w:rPr>
          <w:rtl/>
          <w:lang w:bidi="ar-SY"/>
        </w:rPr>
        <w:tab/>
      </w:r>
      <w:r>
        <w:rPr>
          <w:rtl/>
          <w:lang w:bidi="ar-SY"/>
        </w:rPr>
        <w:tab/>
      </w:r>
      <w:r>
        <w:rPr>
          <w:rtl/>
          <w:lang w:bidi="ar-SY"/>
        </w:rPr>
        <w:tab/>
      </w:r>
      <w:r>
        <w:rPr>
          <w:rtl/>
          <w:lang w:bidi="ar-SY"/>
        </w:rPr>
        <w:tab/>
      </w:r>
      <w:r>
        <w:rPr>
          <w:rtl/>
          <w:lang w:bidi="ar-SY"/>
        </w:rPr>
        <w:tab/>
      </w:r>
      <w:r>
        <w:rPr>
          <w:rtl/>
          <w:lang w:bidi="ar-SY"/>
        </w:rPr>
        <w:tab/>
      </w:r>
      <w:r>
        <w:rPr>
          <w:rtl/>
          <w:lang w:bidi="ar-SY"/>
        </w:rPr>
        <w:tab/>
      </w:r>
      <w:r>
        <w:rPr>
          <w:rtl/>
          <w:lang w:bidi="ar-SY"/>
        </w:rPr>
        <w:tab/>
        <w:t xml:space="preserve">  پەیمانگەی شافعی</w:t>
      </w:r>
    </w:p>
    <w:p w:rsidR="0019516E" w:rsidRDefault="0019516E" w:rsidP="0019516E">
      <w:pPr>
        <w:ind w:right="-851"/>
        <w:rPr>
          <w:rtl/>
          <w:lang w:bidi="ar-SY"/>
        </w:rPr>
      </w:pPr>
      <w:r>
        <w:rPr>
          <w:rtl/>
          <w:lang w:bidi="ar-SY"/>
        </w:rPr>
        <w:t xml:space="preserve">بۆ فێربونی قورئان وزانستە شەرعیەکان </w:t>
      </w:r>
      <w:r>
        <w:rPr>
          <w:rtl/>
          <w:lang w:bidi="ar-SY"/>
        </w:rPr>
        <w:tab/>
      </w:r>
      <w:r>
        <w:rPr>
          <w:rtl/>
          <w:lang w:bidi="ar-SY"/>
        </w:rPr>
        <w:tab/>
      </w:r>
      <w:r>
        <w:rPr>
          <w:rtl/>
          <w:lang w:bidi="ar-SY"/>
        </w:rPr>
        <w:tab/>
      </w:r>
      <w:r>
        <w:rPr>
          <w:rtl/>
          <w:lang w:bidi="ar-SY"/>
        </w:rPr>
        <w:tab/>
      </w:r>
      <w:r>
        <w:rPr>
          <w:rtl/>
          <w:lang w:bidi="ar-SY"/>
        </w:rPr>
        <w:tab/>
      </w:r>
      <w:r>
        <w:rPr>
          <w:rtl/>
          <w:lang w:bidi="ar-SY"/>
        </w:rPr>
        <w:tab/>
      </w:r>
      <w:r>
        <w:rPr>
          <w:rtl/>
          <w:lang w:bidi="ar-SY"/>
        </w:rPr>
        <w:tab/>
      </w:r>
      <w:r>
        <w:rPr>
          <w:rFonts w:hint="cs"/>
          <w:rtl/>
          <w:lang w:bidi="ar-SY"/>
        </w:rPr>
        <w:t xml:space="preserve">             </w:t>
      </w:r>
      <w:r>
        <w:rPr>
          <w:rtl/>
          <w:lang w:bidi="ar-SY"/>
        </w:rPr>
        <w:t>بۆ زانستە شەرعیەکان</w:t>
      </w:r>
    </w:p>
    <w:p w:rsidR="0019516E" w:rsidRDefault="0019516E" w:rsidP="0019516E">
      <w:pPr>
        <w:ind w:firstLine="720"/>
        <w:rPr>
          <w:rtl/>
          <w:lang w:bidi="ar-SY"/>
        </w:rPr>
      </w:pPr>
      <w:r>
        <w:rPr>
          <w:rtl/>
          <w:lang w:bidi="ar-SY"/>
        </w:rPr>
        <w:t xml:space="preserve">    لقی هەولێر</w:t>
      </w:r>
      <w:r>
        <w:rPr>
          <w:rtl/>
          <w:lang w:bidi="ar-SY"/>
        </w:rPr>
        <w:tab/>
      </w:r>
      <w:r>
        <w:rPr>
          <w:rtl/>
          <w:lang w:bidi="ar-SY"/>
        </w:rPr>
        <w:tab/>
      </w:r>
      <w:r>
        <w:rPr>
          <w:rtl/>
          <w:lang w:bidi="ar-SY"/>
        </w:rPr>
        <w:tab/>
      </w:r>
      <w:r>
        <w:rPr>
          <w:rtl/>
          <w:lang w:bidi="ar-SY"/>
        </w:rPr>
        <w:tab/>
      </w:r>
      <w:r>
        <w:rPr>
          <w:rtl/>
          <w:lang w:bidi="ar-SY"/>
        </w:rPr>
        <w:tab/>
      </w:r>
      <w:r>
        <w:rPr>
          <w:rtl/>
          <w:lang w:bidi="ar-SY"/>
        </w:rPr>
        <w:tab/>
      </w:r>
      <w:r>
        <w:rPr>
          <w:rtl/>
          <w:lang w:bidi="ar-SY"/>
        </w:rPr>
        <w:tab/>
      </w:r>
      <w:r>
        <w:rPr>
          <w:rtl/>
          <w:lang w:bidi="ar-SY"/>
        </w:rPr>
        <w:tab/>
      </w:r>
      <w:r>
        <w:rPr>
          <w:rtl/>
          <w:lang w:bidi="ar-SY"/>
        </w:rPr>
        <w:tab/>
      </w:r>
      <w:r>
        <w:rPr>
          <w:rtl/>
          <w:lang w:bidi="ar-SY"/>
        </w:rPr>
        <w:tab/>
      </w:r>
    </w:p>
    <w:p w:rsidR="0019516E" w:rsidRDefault="0019516E" w:rsidP="0019516E">
      <w:pPr>
        <w:rPr>
          <w:rtl/>
          <w:lang w:bidi="ar-SY"/>
        </w:rPr>
      </w:pPr>
      <w:r>
        <w:rPr>
          <w:rFonts w:hint="cs"/>
          <w:rtl/>
          <w:lang w:bidi="ar-SY"/>
        </w:rPr>
        <w:t xml:space="preserve">                                   </w:t>
      </w:r>
      <w:r>
        <w:rPr>
          <w:rtl/>
          <w:lang w:bidi="ar-SY"/>
        </w:rPr>
        <w:t>.............................................................................................................................................................</w:t>
      </w:r>
      <w:r>
        <w:rPr>
          <w:rFonts w:hint="cs"/>
          <w:rtl/>
          <w:lang w:bidi="ar-SY"/>
        </w:rPr>
        <w:t xml:space="preserve"> </w:t>
      </w:r>
    </w:p>
    <w:p w:rsidR="0019516E" w:rsidRDefault="0019516E" w:rsidP="0019516E">
      <w:pPr>
        <w:rPr>
          <w:rtl/>
          <w:lang w:bidi="ar-SY"/>
        </w:rPr>
      </w:pPr>
      <w:r>
        <w:rPr>
          <w:rtl/>
          <w:lang w:bidi="ar-SY"/>
        </w:rPr>
        <w:t>ژمارە:</w:t>
      </w:r>
    </w:p>
    <w:p w:rsidR="0019516E" w:rsidRDefault="0019516E" w:rsidP="0019516E">
      <w:pPr>
        <w:rPr>
          <w:rtl/>
          <w:lang w:bidi="ar-SY"/>
        </w:rPr>
      </w:pPr>
      <w:r>
        <w:rPr>
          <w:rtl/>
          <w:lang w:bidi="ar-SY"/>
        </w:rPr>
        <w:t xml:space="preserve">ڕێکەوت: </w:t>
      </w:r>
    </w:p>
    <w:p w:rsidR="0019516E" w:rsidRDefault="0019516E" w:rsidP="0019516E">
      <w:pPr>
        <w:rPr>
          <w:rtl/>
        </w:rPr>
      </w:pPr>
    </w:p>
    <w:p w:rsidR="0019516E" w:rsidRDefault="0019516E" w:rsidP="0019516E">
      <w:pPr>
        <w:rPr>
          <w:rtl/>
        </w:rPr>
      </w:pPr>
    </w:p>
    <w:p w:rsidR="0019516E" w:rsidRDefault="0019516E" w:rsidP="00E03905">
      <w:pPr>
        <w:jc w:val="center"/>
        <w:rPr>
          <w:rtl/>
          <w:lang w:bidi="ar-SY"/>
        </w:rPr>
      </w:pPr>
      <w:r>
        <w:rPr>
          <w:rtl/>
          <w:lang w:bidi="ar-SY"/>
        </w:rPr>
        <w:t xml:space="preserve">بۆ/ کۆلێژی </w:t>
      </w:r>
      <w:r w:rsidR="00E03905">
        <w:rPr>
          <w:rFonts w:hint="cs"/>
          <w:rtl/>
          <w:lang w:bidi="ar-SY"/>
        </w:rPr>
        <w:t>زانسته ئيسلاميةكان</w:t>
      </w:r>
      <w:r>
        <w:rPr>
          <w:rtl/>
          <w:lang w:bidi="ar-SY"/>
        </w:rPr>
        <w:t>/ دڵنیایی جۆری</w:t>
      </w:r>
    </w:p>
    <w:p w:rsidR="0019516E" w:rsidRDefault="0019516E" w:rsidP="0019516E">
      <w:pPr>
        <w:jc w:val="center"/>
        <w:rPr>
          <w:rtl/>
          <w:lang w:bidi="ar-SY"/>
        </w:rPr>
      </w:pPr>
      <w:r>
        <w:rPr>
          <w:rtl/>
          <w:lang w:bidi="ar-SY"/>
        </w:rPr>
        <w:t>بابەت/ پێشکەش کردنی سمنار لە وێرکشۆب</w:t>
      </w:r>
    </w:p>
    <w:p w:rsidR="0019516E" w:rsidRDefault="0019516E" w:rsidP="0019516E">
      <w:pPr>
        <w:jc w:val="center"/>
        <w:rPr>
          <w:rtl/>
          <w:lang w:bidi="ar-SY"/>
        </w:rPr>
      </w:pPr>
    </w:p>
    <w:p w:rsidR="0019516E" w:rsidRDefault="0019516E" w:rsidP="0019516E">
      <w:pPr>
        <w:rPr>
          <w:rtl/>
          <w:lang w:bidi="ar-SY"/>
        </w:rPr>
      </w:pPr>
      <w:r>
        <w:rPr>
          <w:rtl/>
          <w:lang w:bidi="ar-SY"/>
        </w:rPr>
        <w:t>سڵاو ...</w:t>
      </w:r>
    </w:p>
    <w:p w:rsidR="0019516E" w:rsidRDefault="0019516E" w:rsidP="0019516E">
      <w:pPr>
        <w:rPr>
          <w:rtl/>
          <w:lang w:bidi="ar-SY"/>
        </w:rPr>
      </w:pPr>
    </w:p>
    <w:p w:rsidR="0019516E" w:rsidRDefault="0019516E" w:rsidP="0019516E">
      <w:pPr>
        <w:ind w:left="-563"/>
        <w:jc w:val="both"/>
        <w:rPr>
          <w:rtl/>
          <w:lang w:bidi="ar-SY"/>
        </w:rPr>
      </w:pPr>
      <w:r>
        <w:rPr>
          <w:rtl/>
          <w:lang w:bidi="ar-SY"/>
        </w:rPr>
        <w:tab/>
        <w:t xml:space="preserve">ڕێکخراوی شافعی بۆ فێربونی قورئان وزانستە شەرعیەکان سوپاسی خۆی ئاراستەی بەڕێز (پ. ی. د. </w:t>
      </w:r>
      <w:r>
        <w:rPr>
          <w:rFonts w:hint="cs"/>
          <w:rtl/>
          <w:lang w:bidi="ar-SY"/>
        </w:rPr>
        <w:t xml:space="preserve">عمر علي محمد </w:t>
      </w:r>
      <w:r>
        <w:rPr>
          <w:rtl/>
          <w:lang w:bidi="ar-SY"/>
        </w:rPr>
        <w:t>) دەکات لە پای پێشکەش کردنی چەند سمینارێک لە چەند وێرکشۆبێک کە ڕێکخراوەکەمان ئەنجامیدابوو، ناوی سمینارەکان وبەرواری پێشکەش کردنی لە خوارەوە بە شێوەی لیست ئاماژە پێکراوە، جێگای دڵخۆشی ئێمەی، نمونەتان زۆر بێت، سوپاسی دەکەین.</w:t>
      </w:r>
    </w:p>
    <w:p w:rsidR="0019516E" w:rsidRDefault="0019516E" w:rsidP="0019516E">
      <w:pPr>
        <w:jc w:val="both"/>
        <w:rPr>
          <w:rtl/>
          <w:lang w:bidi="ar-SY"/>
        </w:rPr>
      </w:pPr>
    </w:p>
    <w:p w:rsidR="0019516E" w:rsidRDefault="0019516E" w:rsidP="0019516E">
      <w:pPr>
        <w:jc w:val="center"/>
        <w:rPr>
          <w:rtl/>
          <w:lang w:bidi="ar-SY"/>
        </w:rPr>
      </w:pPr>
    </w:p>
    <w:tbl>
      <w:tblPr>
        <w:tblStyle w:val="TableGrid"/>
        <w:bidiVisual/>
        <w:tblW w:w="0" w:type="auto"/>
        <w:tblInd w:w="0" w:type="dxa"/>
        <w:tblLook w:val="04A0" w:firstRow="1" w:lastRow="0" w:firstColumn="1" w:lastColumn="0" w:noHBand="0" w:noVBand="1"/>
      </w:tblPr>
      <w:tblGrid>
        <w:gridCol w:w="523"/>
        <w:gridCol w:w="6175"/>
        <w:gridCol w:w="2602"/>
      </w:tblGrid>
      <w:tr w:rsidR="00086F87" w:rsidTr="0019516E">
        <w:tc>
          <w:tcPr>
            <w:tcW w:w="561"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hideMark/>
          </w:tcPr>
          <w:p w:rsidR="0019516E" w:rsidRDefault="0019516E">
            <w:pPr>
              <w:jc w:val="center"/>
              <w:rPr>
                <w:rtl/>
                <w:lang w:bidi="ar-SY"/>
              </w:rPr>
            </w:pPr>
            <w:r>
              <w:rPr>
                <w:rtl/>
                <w:lang w:bidi="ar-SY"/>
              </w:rPr>
              <w:t>ژ</w:t>
            </w:r>
          </w:p>
        </w:tc>
        <w:tc>
          <w:tcPr>
            <w:tcW w:w="71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hideMark/>
          </w:tcPr>
          <w:p w:rsidR="0019516E" w:rsidRDefault="0019516E">
            <w:pPr>
              <w:jc w:val="center"/>
              <w:rPr>
                <w:rtl/>
                <w:lang w:bidi="ar-SY"/>
              </w:rPr>
            </w:pPr>
            <w:r>
              <w:rPr>
                <w:rtl/>
                <w:lang w:bidi="ar-SY"/>
              </w:rPr>
              <w:t>ناونیشانی سمینار</w:t>
            </w:r>
          </w:p>
        </w:tc>
        <w:tc>
          <w:tcPr>
            <w:tcW w:w="2887"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hideMark/>
          </w:tcPr>
          <w:p w:rsidR="0019516E" w:rsidRDefault="0019516E">
            <w:pPr>
              <w:jc w:val="center"/>
              <w:rPr>
                <w:rtl/>
                <w:lang w:bidi="ar-SY"/>
              </w:rPr>
            </w:pPr>
            <w:r>
              <w:rPr>
                <w:rtl/>
                <w:lang w:bidi="ar-SY"/>
              </w:rPr>
              <w:t>بەرواری پێشکەش کردنی</w:t>
            </w:r>
          </w:p>
        </w:tc>
      </w:tr>
      <w:tr w:rsidR="00455335" w:rsidTr="0019516E">
        <w:tc>
          <w:tcPr>
            <w:tcW w:w="561" w:type="dxa"/>
            <w:tcBorders>
              <w:top w:val="thinThickSmallGap" w:sz="12" w:space="0" w:color="auto"/>
              <w:left w:val="thinThickSmallGap" w:sz="12" w:space="0" w:color="auto"/>
              <w:bottom w:val="single" w:sz="4" w:space="0" w:color="auto"/>
              <w:right w:val="thinThickSmallGap" w:sz="12" w:space="0" w:color="auto"/>
            </w:tcBorders>
            <w:shd w:val="clear" w:color="auto" w:fill="F2F2F2" w:themeFill="background1" w:themeFillShade="F2"/>
            <w:hideMark/>
          </w:tcPr>
          <w:p w:rsidR="0019516E" w:rsidRDefault="0019516E">
            <w:pPr>
              <w:jc w:val="center"/>
              <w:rPr>
                <w:rtl/>
                <w:lang w:bidi="ar-SY"/>
              </w:rPr>
            </w:pPr>
            <w:r>
              <w:rPr>
                <w:rtl/>
                <w:lang w:bidi="ar-SY"/>
              </w:rPr>
              <w:t>1</w:t>
            </w:r>
          </w:p>
        </w:tc>
        <w:tc>
          <w:tcPr>
            <w:tcW w:w="7137" w:type="dxa"/>
            <w:tcBorders>
              <w:top w:val="thinThickSmallGap" w:sz="12" w:space="0" w:color="auto"/>
              <w:left w:val="thinThickSmallGap" w:sz="12" w:space="0" w:color="auto"/>
              <w:bottom w:val="single" w:sz="4" w:space="0" w:color="auto"/>
              <w:right w:val="thinThickSmallGap" w:sz="12" w:space="0" w:color="auto"/>
            </w:tcBorders>
            <w:hideMark/>
          </w:tcPr>
          <w:p w:rsidR="0019516E" w:rsidRDefault="00FA65FE">
            <w:pPr>
              <w:jc w:val="center"/>
              <w:rPr>
                <w:rtl/>
                <w:lang w:bidi="ar-SY"/>
              </w:rPr>
            </w:pPr>
            <w:r>
              <w:rPr>
                <w:rFonts w:hint="cs"/>
                <w:rtl/>
                <w:lang w:bidi="ar-SY"/>
              </w:rPr>
              <w:t>مواقف</w:t>
            </w:r>
            <w:r w:rsidR="00455335">
              <w:rPr>
                <w:rFonts w:hint="cs"/>
                <w:rtl/>
                <w:lang w:bidi="ar-SY"/>
              </w:rPr>
              <w:t xml:space="preserve"> </w:t>
            </w:r>
            <w:r>
              <w:rPr>
                <w:rFonts w:hint="cs"/>
                <w:rtl/>
                <w:lang w:bidi="ar-SY"/>
              </w:rPr>
              <w:t xml:space="preserve"> بني إسرائيل من النعم الإلهية في </w:t>
            </w:r>
            <w:r w:rsidR="00455335">
              <w:rPr>
                <w:rFonts w:hint="cs"/>
                <w:rtl/>
                <w:lang w:bidi="ar-SY"/>
              </w:rPr>
              <w:t xml:space="preserve">القرآن الكريم </w:t>
            </w:r>
            <w:r>
              <w:rPr>
                <w:rFonts w:hint="cs"/>
                <w:rtl/>
                <w:lang w:bidi="ar-SY"/>
              </w:rPr>
              <w:t>سورة البقرة</w:t>
            </w:r>
            <w:r w:rsidR="00455335">
              <w:rPr>
                <w:rFonts w:hint="cs"/>
                <w:rtl/>
                <w:lang w:bidi="ar-SY"/>
              </w:rPr>
              <w:t xml:space="preserve"> أنموذجا</w:t>
            </w:r>
            <w:bookmarkStart w:id="0" w:name="_GoBack"/>
            <w:bookmarkEnd w:id="0"/>
            <w:r>
              <w:rPr>
                <w:rFonts w:hint="cs"/>
                <w:rtl/>
                <w:lang w:bidi="ar-SY"/>
              </w:rPr>
              <w:t xml:space="preserve"> </w:t>
            </w:r>
          </w:p>
        </w:tc>
        <w:tc>
          <w:tcPr>
            <w:tcW w:w="2887" w:type="dxa"/>
            <w:tcBorders>
              <w:top w:val="thinThickSmallGap" w:sz="12" w:space="0" w:color="auto"/>
              <w:left w:val="thinThickSmallGap" w:sz="12" w:space="0" w:color="auto"/>
              <w:bottom w:val="single" w:sz="4" w:space="0" w:color="auto"/>
              <w:right w:val="thinThickSmallGap" w:sz="12" w:space="0" w:color="auto"/>
            </w:tcBorders>
            <w:hideMark/>
          </w:tcPr>
          <w:p w:rsidR="0019516E" w:rsidRDefault="0019516E">
            <w:pPr>
              <w:jc w:val="center"/>
              <w:rPr>
                <w:rtl/>
                <w:lang w:bidi="ar-SY"/>
              </w:rPr>
            </w:pPr>
            <w:r>
              <w:rPr>
                <w:rtl/>
                <w:lang w:bidi="ar-SY"/>
              </w:rPr>
              <w:t>14/1/2023</w:t>
            </w:r>
          </w:p>
        </w:tc>
      </w:tr>
      <w:tr w:rsidR="00455335" w:rsidTr="0019516E">
        <w:tc>
          <w:tcPr>
            <w:tcW w:w="561"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hideMark/>
          </w:tcPr>
          <w:p w:rsidR="0019516E" w:rsidRDefault="0019516E">
            <w:pPr>
              <w:jc w:val="center"/>
              <w:rPr>
                <w:rtl/>
                <w:lang w:bidi="ar-SY"/>
              </w:rPr>
            </w:pPr>
            <w:r>
              <w:rPr>
                <w:rtl/>
                <w:lang w:bidi="ar-SY"/>
              </w:rPr>
              <w:t>2</w:t>
            </w:r>
          </w:p>
        </w:tc>
        <w:tc>
          <w:tcPr>
            <w:tcW w:w="7137" w:type="dxa"/>
            <w:tcBorders>
              <w:top w:val="single" w:sz="4" w:space="0" w:color="auto"/>
              <w:left w:val="thinThickSmallGap" w:sz="12" w:space="0" w:color="auto"/>
              <w:bottom w:val="single" w:sz="4" w:space="0" w:color="auto"/>
              <w:right w:val="thinThickSmallGap" w:sz="12" w:space="0" w:color="auto"/>
            </w:tcBorders>
            <w:hideMark/>
          </w:tcPr>
          <w:p w:rsidR="0019516E" w:rsidRDefault="00152638">
            <w:pPr>
              <w:jc w:val="center"/>
              <w:rPr>
                <w:rtl/>
                <w:lang w:bidi="ar-SY"/>
              </w:rPr>
            </w:pPr>
            <w:r>
              <w:rPr>
                <w:rFonts w:hint="cs"/>
                <w:rtl/>
                <w:lang w:bidi="ar-SY"/>
              </w:rPr>
              <w:t>القرآن الكريم (تنزلاته، وجمعه ، وحكمه وفوائده)</w:t>
            </w:r>
            <w:r w:rsidR="00FA65FE">
              <w:rPr>
                <w:rFonts w:hint="cs"/>
                <w:rtl/>
                <w:lang w:bidi="ar-SY"/>
              </w:rPr>
              <w:t xml:space="preserve"> </w:t>
            </w:r>
          </w:p>
        </w:tc>
        <w:tc>
          <w:tcPr>
            <w:tcW w:w="2887" w:type="dxa"/>
            <w:tcBorders>
              <w:top w:val="single" w:sz="4" w:space="0" w:color="auto"/>
              <w:left w:val="thinThickSmallGap" w:sz="12" w:space="0" w:color="auto"/>
              <w:bottom w:val="single" w:sz="4" w:space="0" w:color="auto"/>
              <w:right w:val="thinThickSmallGap" w:sz="12" w:space="0" w:color="auto"/>
            </w:tcBorders>
            <w:hideMark/>
          </w:tcPr>
          <w:p w:rsidR="0019516E" w:rsidRDefault="0019516E">
            <w:pPr>
              <w:jc w:val="center"/>
              <w:rPr>
                <w:rtl/>
                <w:lang w:bidi="ar-SY"/>
              </w:rPr>
            </w:pPr>
            <w:r>
              <w:rPr>
                <w:rtl/>
                <w:lang w:bidi="ar-SY"/>
              </w:rPr>
              <w:t>21/1/2023</w:t>
            </w:r>
          </w:p>
        </w:tc>
      </w:tr>
      <w:tr w:rsidR="00455335" w:rsidTr="0019516E">
        <w:tc>
          <w:tcPr>
            <w:tcW w:w="561"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hideMark/>
          </w:tcPr>
          <w:p w:rsidR="0019516E" w:rsidRDefault="0019516E">
            <w:pPr>
              <w:jc w:val="center"/>
              <w:rPr>
                <w:rtl/>
                <w:lang w:bidi="ar-SY"/>
              </w:rPr>
            </w:pPr>
            <w:r>
              <w:rPr>
                <w:rtl/>
                <w:lang w:bidi="ar-SY"/>
              </w:rPr>
              <w:t>3</w:t>
            </w:r>
          </w:p>
        </w:tc>
        <w:tc>
          <w:tcPr>
            <w:tcW w:w="7137" w:type="dxa"/>
            <w:tcBorders>
              <w:top w:val="single" w:sz="4" w:space="0" w:color="auto"/>
              <w:left w:val="thinThickSmallGap" w:sz="12" w:space="0" w:color="auto"/>
              <w:bottom w:val="single" w:sz="4" w:space="0" w:color="auto"/>
              <w:right w:val="thinThickSmallGap" w:sz="12" w:space="0" w:color="auto"/>
            </w:tcBorders>
            <w:hideMark/>
          </w:tcPr>
          <w:p w:rsidR="0019516E" w:rsidRDefault="00E15DAE">
            <w:pPr>
              <w:jc w:val="center"/>
              <w:rPr>
                <w:rtl/>
                <w:lang w:bidi="ar-SY"/>
              </w:rPr>
            </w:pPr>
            <w:r>
              <w:rPr>
                <w:rFonts w:hint="cs"/>
                <w:rtl/>
                <w:lang w:bidi="ar-SY"/>
              </w:rPr>
              <w:t>مصاحف المصحف العثماني (مفهومه ميزاته، قواعده، حكم التوقيفي فيه )</w:t>
            </w:r>
          </w:p>
        </w:tc>
        <w:tc>
          <w:tcPr>
            <w:tcW w:w="2887" w:type="dxa"/>
            <w:tcBorders>
              <w:top w:val="single" w:sz="4" w:space="0" w:color="auto"/>
              <w:left w:val="thinThickSmallGap" w:sz="12" w:space="0" w:color="auto"/>
              <w:bottom w:val="single" w:sz="4" w:space="0" w:color="auto"/>
              <w:right w:val="thinThickSmallGap" w:sz="12" w:space="0" w:color="auto"/>
            </w:tcBorders>
            <w:hideMark/>
          </w:tcPr>
          <w:p w:rsidR="0019516E" w:rsidRDefault="0019516E">
            <w:pPr>
              <w:jc w:val="center"/>
              <w:rPr>
                <w:rtl/>
                <w:lang w:bidi="ar-SY"/>
              </w:rPr>
            </w:pPr>
            <w:r>
              <w:rPr>
                <w:rtl/>
                <w:lang w:bidi="ar-SY"/>
              </w:rPr>
              <w:t>18/2/2023</w:t>
            </w:r>
          </w:p>
        </w:tc>
      </w:tr>
      <w:tr w:rsidR="00455335" w:rsidTr="0019516E">
        <w:tc>
          <w:tcPr>
            <w:tcW w:w="561"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hideMark/>
          </w:tcPr>
          <w:p w:rsidR="0019516E" w:rsidRDefault="0019516E">
            <w:pPr>
              <w:jc w:val="center"/>
              <w:rPr>
                <w:rtl/>
                <w:lang w:bidi="ar-SY"/>
              </w:rPr>
            </w:pPr>
            <w:r>
              <w:rPr>
                <w:rtl/>
                <w:lang w:bidi="ar-SY"/>
              </w:rPr>
              <w:t>4</w:t>
            </w:r>
          </w:p>
        </w:tc>
        <w:tc>
          <w:tcPr>
            <w:tcW w:w="7137" w:type="dxa"/>
            <w:tcBorders>
              <w:top w:val="single" w:sz="4" w:space="0" w:color="auto"/>
              <w:left w:val="thinThickSmallGap" w:sz="12" w:space="0" w:color="auto"/>
              <w:bottom w:val="single" w:sz="4" w:space="0" w:color="auto"/>
              <w:right w:val="thinThickSmallGap" w:sz="12" w:space="0" w:color="auto"/>
            </w:tcBorders>
            <w:hideMark/>
          </w:tcPr>
          <w:p w:rsidR="0019516E" w:rsidRDefault="00086F87">
            <w:pPr>
              <w:jc w:val="center"/>
              <w:rPr>
                <w:rtl/>
                <w:lang w:bidi="ar-SY"/>
              </w:rPr>
            </w:pPr>
            <w:r>
              <w:rPr>
                <w:rFonts w:hint="cs"/>
                <w:rtl/>
                <w:lang w:bidi="ar-SY"/>
              </w:rPr>
              <w:t>فقه</w:t>
            </w:r>
            <w:r w:rsidR="007E0A9A">
              <w:rPr>
                <w:rFonts w:hint="cs"/>
                <w:rtl/>
                <w:lang w:bidi="ar-SY"/>
              </w:rPr>
              <w:t xml:space="preserve"> التعامل مع القرآن الكريم</w:t>
            </w:r>
            <w:r>
              <w:rPr>
                <w:rFonts w:hint="cs"/>
                <w:rtl/>
                <w:lang w:bidi="ar-SY"/>
              </w:rPr>
              <w:t xml:space="preserve"> في منظور الإمام النورسي</w:t>
            </w:r>
          </w:p>
        </w:tc>
        <w:tc>
          <w:tcPr>
            <w:tcW w:w="2887" w:type="dxa"/>
            <w:tcBorders>
              <w:top w:val="single" w:sz="4" w:space="0" w:color="auto"/>
              <w:left w:val="thinThickSmallGap" w:sz="12" w:space="0" w:color="auto"/>
              <w:bottom w:val="single" w:sz="4" w:space="0" w:color="auto"/>
              <w:right w:val="thinThickSmallGap" w:sz="12" w:space="0" w:color="auto"/>
            </w:tcBorders>
            <w:hideMark/>
          </w:tcPr>
          <w:p w:rsidR="0019516E" w:rsidRDefault="0019516E">
            <w:pPr>
              <w:jc w:val="center"/>
              <w:rPr>
                <w:rtl/>
                <w:lang w:bidi="ar-SY"/>
              </w:rPr>
            </w:pPr>
            <w:r>
              <w:rPr>
                <w:rtl/>
                <w:lang w:bidi="ar-SY"/>
              </w:rPr>
              <w:t>11/3/2023</w:t>
            </w:r>
          </w:p>
        </w:tc>
      </w:tr>
      <w:tr w:rsidR="00455335" w:rsidTr="0019516E">
        <w:tc>
          <w:tcPr>
            <w:tcW w:w="561" w:type="dxa"/>
            <w:tcBorders>
              <w:top w:val="single" w:sz="4" w:space="0" w:color="auto"/>
              <w:left w:val="thinThickSmallGap" w:sz="12" w:space="0" w:color="auto"/>
              <w:bottom w:val="thinThickSmallGap" w:sz="12" w:space="0" w:color="auto"/>
              <w:right w:val="thinThickSmallGap" w:sz="12" w:space="0" w:color="auto"/>
            </w:tcBorders>
            <w:shd w:val="clear" w:color="auto" w:fill="F2F2F2" w:themeFill="background1" w:themeFillShade="F2"/>
            <w:hideMark/>
          </w:tcPr>
          <w:p w:rsidR="0019516E" w:rsidRDefault="0019516E">
            <w:pPr>
              <w:jc w:val="center"/>
              <w:rPr>
                <w:rtl/>
                <w:lang w:bidi="ar-SY"/>
              </w:rPr>
            </w:pPr>
            <w:r>
              <w:rPr>
                <w:rtl/>
                <w:lang w:bidi="ar-SY"/>
              </w:rPr>
              <w:t>5</w:t>
            </w:r>
          </w:p>
        </w:tc>
        <w:tc>
          <w:tcPr>
            <w:tcW w:w="7137" w:type="dxa"/>
            <w:tcBorders>
              <w:top w:val="single" w:sz="4" w:space="0" w:color="auto"/>
              <w:left w:val="thinThickSmallGap" w:sz="12" w:space="0" w:color="auto"/>
              <w:bottom w:val="thinThickSmallGap" w:sz="12" w:space="0" w:color="auto"/>
              <w:right w:val="thinThickSmallGap" w:sz="12" w:space="0" w:color="auto"/>
            </w:tcBorders>
            <w:hideMark/>
          </w:tcPr>
          <w:p w:rsidR="0019516E" w:rsidRDefault="00FA65FE">
            <w:pPr>
              <w:jc w:val="center"/>
              <w:rPr>
                <w:rtl/>
                <w:lang w:bidi="ar-SY"/>
              </w:rPr>
            </w:pPr>
            <w:r>
              <w:rPr>
                <w:rFonts w:hint="cs"/>
                <w:rtl/>
                <w:lang w:bidi="ar-SY"/>
              </w:rPr>
              <w:t xml:space="preserve"> </w:t>
            </w:r>
            <w:r w:rsidR="007E0A9A">
              <w:rPr>
                <w:rFonts w:hint="cs"/>
                <w:rtl/>
                <w:lang w:bidi="ar-SY"/>
              </w:rPr>
              <w:t>مبدأ العلاقة بين الإنسان والخالق في التربية الإسلامية</w:t>
            </w:r>
          </w:p>
        </w:tc>
        <w:tc>
          <w:tcPr>
            <w:tcW w:w="2887" w:type="dxa"/>
            <w:tcBorders>
              <w:top w:val="single" w:sz="4" w:space="0" w:color="auto"/>
              <w:left w:val="thinThickSmallGap" w:sz="12" w:space="0" w:color="auto"/>
              <w:bottom w:val="thinThickSmallGap" w:sz="12" w:space="0" w:color="auto"/>
              <w:right w:val="thinThickSmallGap" w:sz="12" w:space="0" w:color="auto"/>
            </w:tcBorders>
            <w:hideMark/>
          </w:tcPr>
          <w:p w:rsidR="0019516E" w:rsidRDefault="0019516E">
            <w:pPr>
              <w:jc w:val="center"/>
              <w:rPr>
                <w:rtl/>
                <w:lang w:bidi="ar-SY"/>
              </w:rPr>
            </w:pPr>
            <w:r>
              <w:rPr>
                <w:rtl/>
                <w:lang w:bidi="ar-SY"/>
              </w:rPr>
              <w:t>6/5/2023</w:t>
            </w:r>
          </w:p>
        </w:tc>
      </w:tr>
    </w:tbl>
    <w:p w:rsidR="0019516E" w:rsidRDefault="0019516E" w:rsidP="0019516E">
      <w:pPr>
        <w:jc w:val="center"/>
        <w:rPr>
          <w:rtl/>
          <w:lang w:bidi="ar-SY"/>
        </w:rPr>
      </w:pPr>
    </w:p>
    <w:p w:rsidR="0019516E" w:rsidRDefault="0019516E" w:rsidP="0019516E">
      <w:pPr>
        <w:jc w:val="center"/>
        <w:rPr>
          <w:rtl/>
          <w:lang w:bidi="ar-SY"/>
        </w:rPr>
      </w:pPr>
    </w:p>
    <w:p w:rsidR="0019516E" w:rsidRDefault="0019516E" w:rsidP="0019516E">
      <w:pPr>
        <w:jc w:val="center"/>
        <w:rPr>
          <w:rtl/>
          <w:lang w:bidi="ar-SY"/>
        </w:rPr>
      </w:pPr>
      <w:r>
        <w:rPr>
          <w:rtl/>
          <w:lang w:bidi="ar-SY"/>
        </w:rPr>
        <w:t>لە گەل ڕێزدا</w:t>
      </w:r>
    </w:p>
    <w:p w:rsidR="0019516E" w:rsidRDefault="0019516E" w:rsidP="0019516E">
      <w:pPr>
        <w:jc w:val="center"/>
        <w:rPr>
          <w:rtl/>
          <w:lang w:bidi="ar-SY"/>
        </w:rPr>
      </w:pPr>
    </w:p>
    <w:p w:rsidR="0019516E" w:rsidRDefault="0019516E" w:rsidP="0019516E">
      <w:pPr>
        <w:jc w:val="center"/>
        <w:rPr>
          <w:rtl/>
          <w:lang w:bidi="ar-SY"/>
        </w:rPr>
      </w:pPr>
    </w:p>
    <w:p w:rsidR="0019516E" w:rsidRDefault="0019516E" w:rsidP="0019516E">
      <w:pPr>
        <w:jc w:val="center"/>
        <w:rPr>
          <w:rtl/>
          <w:lang w:bidi="ar-SY"/>
        </w:rPr>
      </w:pPr>
    </w:p>
    <w:p w:rsidR="0019516E" w:rsidRDefault="0019516E" w:rsidP="0019516E">
      <w:pPr>
        <w:jc w:val="center"/>
        <w:rPr>
          <w:rtl/>
          <w:lang w:bidi="ar-SY"/>
        </w:rPr>
      </w:pPr>
    </w:p>
    <w:p w:rsidR="0019516E" w:rsidRDefault="0019516E" w:rsidP="0019516E">
      <w:pPr>
        <w:jc w:val="center"/>
        <w:rPr>
          <w:rtl/>
          <w:lang w:bidi="ar-SY"/>
        </w:rPr>
      </w:pPr>
    </w:p>
    <w:p w:rsidR="0019516E" w:rsidRDefault="0019516E" w:rsidP="0019516E">
      <w:pPr>
        <w:jc w:val="center"/>
        <w:rPr>
          <w:rtl/>
          <w:lang w:bidi="ar-SY"/>
        </w:rPr>
      </w:pPr>
    </w:p>
    <w:p w:rsidR="0019516E" w:rsidRDefault="0019516E" w:rsidP="0019516E">
      <w:pPr>
        <w:jc w:val="center"/>
        <w:rPr>
          <w:rtl/>
          <w:lang w:bidi="ar-SY"/>
        </w:rPr>
      </w:pPr>
    </w:p>
    <w:p w:rsidR="0019516E" w:rsidRDefault="0019516E" w:rsidP="0019516E">
      <w:pPr>
        <w:ind w:left="4320" w:firstLine="720"/>
        <w:jc w:val="center"/>
        <w:rPr>
          <w:rtl/>
          <w:lang w:bidi="ar-SY"/>
        </w:rPr>
      </w:pPr>
      <w:r>
        <w:rPr>
          <w:rtl/>
          <w:lang w:bidi="ar-SY"/>
        </w:rPr>
        <w:t>بەڕێوەبەری</w:t>
      </w:r>
    </w:p>
    <w:p w:rsidR="0019516E" w:rsidRDefault="0019516E" w:rsidP="00455335">
      <w:pPr>
        <w:ind w:left="4320" w:firstLine="720"/>
        <w:jc w:val="center"/>
        <w:rPr>
          <w:rtl/>
          <w:lang w:bidi="ar-SY"/>
        </w:rPr>
      </w:pPr>
      <w:r>
        <w:rPr>
          <w:rtl/>
          <w:lang w:bidi="ar-SY"/>
        </w:rPr>
        <w:t>پ. ی. د. محمد خالد مصطفى</w:t>
      </w:r>
    </w:p>
    <w:p w:rsidR="00604D82" w:rsidRDefault="00604D82" w:rsidP="0019516E">
      <w:pPr>
        <w:rPr>
          <w:lang w:bidi="ar-SY"/>
        </w:rPr>
      </w:pPr>
    </w:p>
    <w:sectPr w:rsidR="0060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ij Myriad Arabic">
    <w:altName w:val="Adobe Arabic"/>
    <w:charset w:val="00"/>
    <w:family w:val="roman"/>
    <w:pitch w:val="variable"/>
    <w:sig w:usb0="00000000"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6E"/>
    <w:rsid w:val="00086F87"/>
    <w:rsid w:val="00152638"/>
    <w:rsid w:val="0019516E"/>
    <w:rsid w:val="00455335"/>
    <w:rsid w:val="00604D82"/>
    <w:rsid w:val="007E0A9A"/>
    <w:rsid w:val="00C06F01"/>
    <w:rsid w:val="00E03905"/>
    <w:rsid w:val="00E15DAE"/>
    <w:rsid w:val="00FA6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0D2D"/>
  <w15:chartTrackingRefBased/>
  <w15:docId w15:val="{23BFBAA5-5FEF-4DB2-B41C-EF2645C4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6E"/>
    <w:pPr>
      <w:bidi/>
      <w:spacing w:after="0" w:line="240" w:lineRule="auto"/>
    </w:pPr>
    <w:rPr>
      <w:rFonts w:cs="Bahij Myriad Arabic"/>
      <w:szCs w:val="28"/>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1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techh  ssttoore</dc:creator>
  <cp:keywords/>
  <dc:description/>
  <cp:lastModifiedBy>techh  ssttoore</cp:lastModifiedBy>
  <cp:revision>9</cp:revision>
  <dcterms:created xsi:type="dcterms:W3CDTF">2023-05-23T11:34:00Z</dcterms:created>
  <dcterms:modified xsi:type="dcterms:W3CDTF">2023-05-23T11:46:00Z</dcterms:modified>
</cp:coreProperties>
</file>