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909F" w14:textId="77777777" w:rsidR="008D46A4" w:rsidRDefault="0080086A" w:rsidP="00E61090">
      <w:pPr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D58B69C" wp14:editId="7E8CC33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E24C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ku-Arab-IQ"/>
        </w:rPr>
      </w:pPr>
    </w:p>
    <w:p w14:paraId="6A162B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14:paraId="437DFF82" w14:textId="77777777" w:rsidR="00227E6A" w:rsidRDefault="00227E6A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56DD207" w14:textId="77777777" w:rsidR="005266C6" w:rsidRDefault="005266C6" w:rsidP="005344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243B465" w14:textId="7A5E311D" w:rsidR="00227E6A" w:rsidRDefault="00E21941" w:rsidP="002A3710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 xml:space="preserve">کورسبوک </w:t>
      </w:r>
      <w:r w:rsidR="002A3710">
        <w:rPr>
          <w:rFonts w:hint="cs"/>
          <w:b/>
          <w:bCs/>
          <w:sz w:val="44"/>
          <w:szCs w:val="44"/>
          <w:rtl/>
          <w:lang w:bidi="ar-KW"/>
        </w:rPr>
        <w:t>ال</w:t>
      </w:r>
      <w:r>
        <w:rPr>
          <w:rFonts w:hint="cs"/>
          <w:b/>
          <w:bCs/>
          <w:sz w:val="44"/>
          <w:szCs w:val="44"/>
          <w:rtl/>
          <w:lang w:bidi="ar-KW"/>
        </w:rPr>
        <w:t>دراسات العلیا</w:t>
      </w:r>
    </w:p>
    <w:p w14:paraId="6F817158" w14:textId="14229F17" w:rsidR="005344A4" w:rsidRDefault="00E21941" w:rsidP="00227E6A">
      <w:pPr>
        <w:bidi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القسم</w:t>
      </w:r>
      <w:r w:rsidR="00227E6A">
        <w:rPr>
          <w:rFonts w:hint="cs"/>
          <w:b/>
          <w:bCs/>
          <w:sz w:val="44"/>
          <w:szCs w:val="44"/>
          <w:rtl/>
          <w:lang w:bidi="ar-KW"/>
        </w:rPr>
        <w:t xml:space="preserve"> :</w:t>
      </w:r>
      <w:r w:rsidR="00336EE1" w:rsidRP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اللغة السريانيّة</w:t>
      </w:r>
    </w:p>
    <w:p w14:paraId="7DB05409" w14:textId="7F13EACD" w:rsidR="00227E6A" w:rsidRDefault="00E21941" w:rsidP="00227E6A">
      <w:pPr>
        <w:bidi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الکلی</w:t>
      </w:r>
      <w:r>
        <w:rPr>
          <w:rFonts w:hint="cs"/>
          <w:b/>
          <w:bCs/>
          <w:sz w:val="44"/>
          <w:szCs w:val="44"/>
          <w:rtl/>
          <w:lang w:val="en-US" w:bidi="ar-DZ"/>
        </w:rPr>
        <w:t>ة</w:t>
      </w:r>
      <w:r w:rsidR="00227E6A">
        <w:rPr>
          <w:rFonts w:hint="cs"/>
          <w:b/>
          <w:bCs/>
          <w:sz w:val="44"/>
          <w:szCs w:val="44"/>
          <w:rtl/>
          <w:lang w:bidi="ar-KW"/>
        </w:rPr>
        <w:t xml:space="preserve"> :</w:t>
      </w:r>
      <w:r w:rsidR="00336EE1" w:rsidRP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التربية</w:t>
      </w:r>
    </w:p>
    <w:p w14:paraId="71747FE2" w14:textId="1371B716" w:rsidR="00227E6A" w:rsidRDefault="00E21941" w:rsidP="00227E6A">
      <w:pPr>
        <w:bidi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الجامع</w:t>
      </w:r>
      <w:r>
        <w:rPr>
          <w:rFonts w:hint="cs"/>
          <w:b/>
          <w:bCs/>
          <w:sz w:val="44"/>
          <w:szCs w:val="44"/>
          <w:rtl/>
          <w:lang w:val="en-US" w:bidi="ar-DZ"/>
        </w:rPr>
        <w:t>ة</w:t>
      </w:r>
      <w:r w:rsidR="00227E6A" w:rsidRPr="00227E6A">
        <w:rPr>
          <w:rFonts w:hint="cs"/>
          <w:b/>
          <w:bCs/>
          <w:sz w:val="44"/>
          <w:szCs w:val="44"/>
          <w:rtl/>
          <w:lang w:bidi="ar-KW"/>
        </w:rPr>
        <w:t xml:space="preserve"> :</w:t>
      </w:r>
      <w:r w:rsidR="00336EE1" w:rsidRP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صلاح الدين</w:t>
      </w:r>
    </w:p>
    <w:p w14:paraId="7696A65B" w14:textId="4087CC6A" w:rsidR="00227E6A" w:rsidRDefault="00E21941" w:rsidP="00227E6A">
      <w:pPr>
        <w:bidi/>
        <w:rPr>
          <w:b/>
          <w:bCs/>
          <w:sz w:val="44"/>
          <w:szCs w:val="44"/>
          <w:rtl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الموضوع</w:t>
      </w:r>
      <w:r w:rsidR="00227E6A">
        <w:rPr>
          <w:rFonts w:hint="cs"/>
          <w:b/>
          <w:bCs/>
          <w:sz w:val="44"/>
          <w:szCs w:val="44"/>
          <w:rtl/>
          <w:lang w:bidi="ar-KW"/>
        </w:rPr>
        <w:t xml:space="preserve"> :</w:t>
      </w:r>
      <w:r w:rsidR="00336EE1" w:rsidRP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D1C9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دراسات ادبية مقارنة</w:t>
      </w:r>
    </w:p>
    <w:p w14:paraId="4E26CA1A" w14:textId="54A63CFB" w:rsidR="00227E6A" w:rsidRPr="00227E6A" w:rsidRDefault="00E21941" w:rsidP="00227E6A">
      <w:pPr>
        <w:bidi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مستوی الدراس</w:t>
      </w:r>
      <w:r>
        <w:rPr>
          <w:rFonts w:hint="cs"/>
          <w:b/>
          <w:bCs/>
          <w:sz w:val="44"/>
          <w:szCs w:val="44"/>
          <w:rtl/>
          <w:lang w:val="en-US" w:bidi="ar-DZ"/>
        </w:rPr>
        <w:t>ة</w:t>
      </w:r>
      <w:r w:rsidR="00227E6A">
        <w:rPr>
          <w:rFonts w:hint="cs"/>
          <w:b/>
          <w:bCs/>
          <w:sz w:val="44"/>
          <w:szCs w:val="44"/>
          <w:rtl/>
          <w:lang w:bidi="ar-KW"/>
        </w:rPr>
        <w:t xml:space="preserve"> : </w:t>
      </w:r>
      <w:r w:rsid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الماجستير</w:t>
      </w:r>
      <w:r w:rsidR="00336EE1">
        <w:rPr>
          <w:rFonts w:hint="cs"/>
          <w:b/>
          <w:bCs/>
          <w:sz w:val="44"/>
          <w:szCs w:val="44"/>
          <w:rtl/>
          <w:lang w:bidi="ar-KW"/>
        </w:rPr>
        <w:t xml:space="preserve"> - ال</w:t>
      </w:r>
      <w:r>
        <w:rPr>
          <w:rFonts w:hint="cs"/>
          <w:b/>
          <w:bCs/>
          <w:sz w:val="44"/>
          <w:szCs w:val="44"/>
          <w:rtl/>
          <w:lang w:bidi="ar-KW"/>
        </w:rPr>
        <w:t>کورس ال</w:t>
      </w:r>
      <w:r w:rsidR="004D1C94">
        <w:rPr>
          <w:rFonts w:hint="cs"/>
          <w:b/>
          <w:bCs/>
          <w:sz w:val="44"/>
          <w:szCs w:val="44"/>
          <w:rtl/>
          <w:lang w:bidi="ar-KW"/>
        </w:rPr>
        <w:t>ثاني</w:t>
      </w:r>
    </w:p>
    <w:p w14:paraId="09F3D023" w14:textId="115CDE38" w:rsidR="00336EE1" w:rsidRPr="00BD2C4A" w:rsidRDefault="00E21941" w:rsidP="00336EE1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الاسم الکامل للتدریسی واللقب العلمی</w:t>
      </w:r>
      <w:r w:rsidR="00227E6A">
        <w:rPr>
          <w:rFonts w:hint="cs"/>
          <w:b/>
          <w:bCs/>
          <w:sz w:val="44"/>
          <w:szCs w:val="44"/>
          <w:rtl/>
          <w:lang w:bidi="ar-KW"/>
        </w:rPr>
        <w:t>:</w:t>
      </w:r>
      <w:r w:rsidR="00336EE1" w:rsidRP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36EE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 د. سامر صوريشو يوحنّا</w:t>
      </w:r>
    </w:p>
    <w:p w14:paraId="2BB2D9F1" w14:textId="6984905A" w:rsidR="00227E6A" w:rsidRDefault="00227E6A" w:rsidP="00227E6A">
      <w:pPr>
        <w:tabs>
          <w:tab w:val="left" w:pos="1200"/>
        </w:tabs>
        <w:bidi/>
        <w:rPr>
          <w:b/>
          <w:bCs/>
          <w:sz w:val="44"/>
          <w:szCs w:val="44"/>
          <w:rtl/>
          <w:lang w:bidi="ar-KW"/>
        </w:rPr>
      </w:pPr>
    </w:p>
    <w:p w14:paraId="4EB6F194" w14:textId="77777777" w:rsidR="00227E6A" w:rsidRDefault="00227E6A" w:rsidP="00227E6A">
      <w:pPr>
        <w:tabs>
          <w:tab w:val="left" w:pos="1200"/>
        </w:tabs>
        <w:bidi/>
        <w:rPr>
          <w:b/>
          <w:bCs/>
          <w:sz w:val="44"/>
          <w:szCs w:val="44"/>
          <w:rtl/>
          <w:lang w:bidi="ar-KW"/>
        </w:rPr>
      </w:pPr>
    </w:p>
    <w:p w14:paraId="77EA23F1" w14:textId="04D098C5" w:rsidR="00227E6A" w:rsidRPr="00E21941" w:rsidRDefault="00E21941" w:rsidP="00227E6A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val="en-US" w:bidi="ar-DZ"/>
        </w:rPr>
      </w:pPr>
      <w:r>
        <w:rPr>
          <w:rFonts w:hint="cs"/>
          <w:b/>
          <w:bCs/>
          <w:sz w:val="44"/>
          <w:szCs w:val="44"/>
          <w:rtl/>
          <w:lang w:bidi="ar-KW"/>
        </w:rPr>
        <w:t>السن</w:t>
      </w:r>
      <w:r>
        <w:rPr>
          <w:rFonts w:hint="cs"/>
          <w:b/>
          <w:bCs/>
          <w:sz w:val="44"/>
          <w:szCs w:val="44"/>
          <w:rtl/>
          <w:lang w:val="en-US" w:bidi="ar-DZ"/>
        </w:rPr>
        <w:t xml:space="preserve">ة </w:t>
      </w:r>
      <w:r>
        <w:rPr>
          <w:rFonts w:hint="cs"/>
          <w:b/>
          <w:bCs/>
          <w:sz w:val="44"/>
          <w:szCs w:val="44"/>
          <w:rtl/>
          <w:lang w:val="en-US" w:bidi="ku-Arab-IQ"/>
        </w:rPr>
        <w:t>الدراسی</w:t>
      </w:r>
      <w:r>
        <w:rPr>
          <w:rFonts w:hint="cs"/>
          <w:b/>
          <w:bCs/>
          <w:sz w:val="44"/>
          <w:szCs w:val="44"/>
          <w:rtl/>
          <w:lang w:val="en-US" w:bidi="ar-DZ"/>
        </w:rPr>
        <w:t>ة</w:t>
      </w:r>
    </w:p>
    <w:p w14:paraId="0114DBC2" w14:textId="5B5E95E1" w:rsidR="008D46A4" w:rsidRDefault="00507AB3" w:rsidP="00227E6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</w:t>
      </w:r>
      <w:r w:rsidR="00D42D94">
        <w:rPr>
          <w:b/>
          <w:bCs/>
          <w:sz w:val="44"/>
          <w:szCs w:val="44"/>
          <w:lang w:bidi="ar-KW"/>
        </w:rPr>
        <w:t>2</w:t>
      </w:r>
      <w:r w:rsidR="005266C6">
        <w:rPr>
          <w:b/>
          <w:bCs/>
          <w:sz w:val="44"/>
          <w:szCs w:val="44"/>
          <w:lang w:bidi="ar-KW"/>
        </w:rPr>
        <w:t>3</w:t>
      </w:r>
      <w:r w:rsidR="008D46A4">
        <w:rPr>
          <w:b/>
          <w:bCs/>
          <w:sz w:val="44"/>
          <w:szCs w:val="44"/>
          <w:lang w:bidi="ar-KW"/>
        </w:rPr>
        <w:t>/20</w:t>
      </w:r>
      <w:r w:rsidR="00D42D94">
        <w:rPr>
          <w:b/>
          <w:bCs/>
          <w:sz w:val="44"/>
          <w:szCs w:val="44"/>
          <w:lang w:bidi="ar-KW"/>
        </w:rPr>
        <w:t>2</w:t>
      </w:r>
      <w:r w:rsidR="005266C6">
        <w:rPr>
          <w:b/>
          <w:bCs/>
          <w:sz w:val="44"/>
          <w:szCs w:val="44"/>
          <w:lang w:bidi="ar-KW"/>
        </w:rPr>
        <w:t>4</w:t>
      </w:r>
    </w:p>
    <w:p w14:paraId="183F6404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A23544" w14:textId="72CED799" w:rsidR="008D46A4" w:rsidRPr="001975DC" w:rsidRDefault="00E21941" w:rsidP="00227E6A">
      <w:pPr>
        <w:tabs>
          <w:tab w:val="left" w:pos="1200"/>
        </w:tabs>
        <w:bidi/>
        <w:rPr>
          <w:sz w:val="28"/>
          <w:szCs w:val="28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کورس بوک</w:t>
      </w:r>
    </w:p>
    <w:tbl>
      <w:tblPr>
        <w:tblW w:w="102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760"/>
        <w:gridCol w:w="3069"/>
      </w:tblGrid>
      <w:tr w:rsidR="008D46A4" w:rsidRPr="00747A9A" w14:paraId="7C0F957E" w14:textId="77777777" w:rsidTr="00336EE1">
        <w:trPr>
          <w:jc w:val="right"/>
        </w:trPr>
        <w:tc>
          <w:tcPr>
            <w:tcW w:w="7200" w:type="dxa"/>
            <w:gridSpan w:val="2"/>
          </w:tcPr>
          <w:p w14:paraId="6CE26E28" w14:textId="68A84D87" w:rsidR="008D46A4" w:rsidRPr="006766CD" w:rsidRDefault="004D1C94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دراسات ادبية مقارنة</w:t>
            </w:r>
          </w:p>
        </w:tc>
        <w:tc>
          <w:tcPr>
            <w:tcW w:w="3069" w:type="dxa"/>
          </w:tcPr>
          <w:p w14:paraId="45A8E96B" w14:textId="4243E878" w:rsidR="008D46A4" w:rsidRPr="009D6C10" w:rsidRDefault="00227E6A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١.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اسم الکورس</w:t>
            </w:r>
          </w:p>
        </w:tc>
      </w:tr>
      <w:tr w:rsidR="00336EE1" w:rsidRPr="00747A9A" w14:paraId="26627748" w14:textId="77777777" w:rsidTr="00336EE1">
        <w:trPr>
          <w:jc w:val="right"/>
        </w:trPr>
        <w:tc>
          <w:tcPr>
            <w:tcW w:w="7200" w:type="dxa"/>
            <w:gridSpan w:val="2"/>
          </w:tcPr>
          <w:p w14:paraId="7CE70AFD" w14:textId="6C575B47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سامر صوريشو يوحنا</w:t>
            </w:r>
          </w:p>
        </w:tc>
        <w:tc>
          <w:tcPr>
            <w:tcW w:w="3069" w:type="dxa"/>
          </w:tcPr>
          <w:p w14:paraId="469D94CE" w14:textId="192663D3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٢. </w:t>
            </w:r>
            <w:r w:rsidRPr="00E21941">
              <w:rPr>
                <w:b/>
                <w:bCs/>
                <w:sz w:val="28"/>
                <w:szCs w:val="28"/>
                <w:rtl/>
                <w:lang w:val="en-US" w:bidi="ar-KW"/>
              </w:rPr>
              <w:t>مسؤول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الکورس</w:t>
            </w:r>
          </w:p>
        </w:tc>
      </w:tr>
      <w:tr w:rsidR="00336EE1" w:rsidRPr="00747A9A" w14:paraId="78A14460" w14:textId="77777777" w:rsidTr="00336EE1">
        <w:trPr>
          <w:jc w:val="right"/>
        </w:trPr>
        <w:tc>
          <w:tcPr>
            <w:tcW w:w="7200" w:type="dxa"/>
            <w:gridSpan w:val="2"/>
          </w:tcPr>
          <w:p w14:paraId="2A86D3D5" w14:textId="45A89E5E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اللغة السريانيّة/كلّيّة التربية</w:t>
            </w:r>
          </w:p>
        </w:tc>
        <w:tc>
          <w:tcPr>
            <w:tcW w:w="3069" w:type="dxa"/>
          </w:tcPr>
          <w:p w14:paraId="11796195" w14:textId="46AFA664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٣.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القسم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/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الکلی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336EE1" w:rsidRPr="00747A9A" w14:paraId="74CB99E3" w14:textId="77777777" w:rsidTr="00336EE1">
        <w:trPr>
          <w:trHeight w:val="352"/>
          <w:jc w:val="right"/>
        </w:trPr>
        <w:tc>
          <w:tcPr>
            <w:tcW w:w="7200" w:type="dxa"/>
            <w:gridSpan w:val="2"/>
          </w:tcPr>
          <w:p w14:paraId="07CEE46F" w14:textId="77777777" w:rsidR="00336EE1" w:rsidRPr="009F5586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الايمي</w:t>
            </w: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</w:t>
            </w:r>
            <w:r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samer.</w:t>
              </w:r>
              <w:r>
                <w:rPr>
                  <w:rStyle w:val="Hyperlink"/>
                  <w:rFonts w:asciiTheme="majorBidi" w:hAnsiTheme="majorBidi" w:cstheme="majorBidi"/>
                </w:rPr>
                <w:t>yohanna</w:t>
              </w:r>
              <w:r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@su.edu.krd</w:t>
              </w:r>
            </w:hyperlink>
          </w:p>
          <w:p w14:paraId="5DC9205E" w14:textId="271E29BA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رقم الموبايل</w:t>
            </w:r>
            <w:r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9F558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075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15148424</w:t>
            </w:r>
          </w:p>
        </w:tc>
        <w:tc>
          <w:tcPr>
            <w:tcW w:w="3069" w:type="dxa"/>
          </w:tcPr>
          <w:p w14:paraId="6A56C65A" w14:textId="7C86BC65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٤.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الاتصال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:</w:t>
            </w:r>
          </w:p>
          <w:p w14:paraId="12FC54BF" w14:textId="52D778BF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البرید الالکترونی الرسمی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  <w:p w14:paraId="07EB9BFB" w14:textId="0E4E35D6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رقم الجوال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</w:tc>
      </w:tr>
      <w:tr w:rsidR="00336EE1" w:rsidRPr="00747A9A" w14:paraId="79544925" w14:textId="77777777" w:rsidTr="00336EE1">
        <w:trPr>
          <w:jc w:val="right"/>
        </w:trPr>
        <w:tc>
          <w:tcPr>
            <w:tcW w:w="7200" w:type="dxa"/>
            <w:gridSpan w:val="2"/>
          </w:tcPr>
          <w:p w14:paraId="33D6A78B" w14:textId="77777777" w:rsidR="00336EE1" w:rsidRPr="00C66A14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r w:rsidRPr="00C66A14">
              <w:rPr>
                <w:rFonts w:asciiTheme="majorBidi" w:hAnsiTheme="majorBidi" w:cstheme="minorBidi" w:hint="cs"/>
                <w:color w:val="FF0000"/>
                <w:sz w:val="24"/>
                <w:szCs w:val="24"/>
                <w:rtl/>
                <w:lang w:bidi="ar-IQ"/>
              </w:rPr>
              <w:t>نظري</w:t>
            </w:r>
            <w:r w:rsidRPr="00C66A14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>3</w:t>
            </w:r>
          </w:p>
          <w:p w14:paraId="41DB9206" w14:textId="4CE658CF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66A14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>عملي</w:t>
            </w:r>
            <w:r w:rsidRPr="00C66A14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69" w:type="dxa"/>
          </w:tcPr>
          <w:p w14:paraId="393D2229" w14:textId="1FFCECAF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٥.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الوقت (سا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ع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)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اسبوع</w:t>
            </w:r>
            <w:r w:rsidRPr="009D6C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336EE1" w:rsidRPr="00747A9A" w14:paraId="5F1E6CD6" w14:textId="77777777" w:rsidTr="00336EE1">
        <w:trPr>
          <w:jc w:val="right"/>
        </w:trPr>
        <w:tc>
          <w:tcPr>
            <w:tcW w:w="7200" w:type="dxa"/>
            <w:gridSpan w:val="2"/>
          </w:tcPr>
          <w:p w14:paraId="318710DF" w14:textId="3C3C540F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US" w:bidi="ar-IQ"/>
              </w:rPr>
              <w:t xml:space="preserve">3 </w:t>
            </w:r>
            <w:r w:rsidRPr="00C66A14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US" w:bidi="ar-IQ"/>
              </w:rPr>
              <w:t>ساع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US" w:bidi="ar-IQ"/>
              </w:rPr>
              <w:t>ات</w:t>
            </w:r>
          </w:p>
        </w:tc>
        <w:tc>
          <w:tcPr>
            <w:tcW w:w="3069" w:type="dxa"/>
          </w:tcPr>
          <w:p w14:paraId="259EFB61" w14:textId="3A86DFC2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٦.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اوقات المکتبی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</w:p>
        </w:tc>
      </w:tr>
      <w:tr w:rsidR="00336EE1" w:rsidRPr="00747A9A" w14:paraId="033A0138" w14:textId="77777777" w:rsidTr="00336EE1">
        <w:trPr>
          <w:jc w:val="right"/>
        </w:trPr>
        <w:tc>
          <w:tcPr>
            <w:tcW w:w="7200" w:type="dxa"/>
            <w:gridSpan w:val="2"/>
          </w:tcPr>
          <w:p w14:paraId="2D423B37" w14:textId="57DA03F4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069" w:type="dxa"/>
          </w:tcPr>
          <w:p w14:paraId="60E66EEA" w14:textId="1CC1571F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٧.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رمز الکورس</w:t>
            </w:r>
          </w:p>
        </w:tc>
      </w:tr>
      <w:tr w:rsidR="00336EE1" w:rsidRPr="00747A9A" w14:paraId="32905DEB" w14:textId="77777777" w:rsidTr="00336EE1">
        <w:trPr>
          <w:jc w:val="right"/>
        </w:trPr>
        <w:tc>
          <w:tcPr>
            <w:tcW w:w="7200" w:type="dxa"/>
            <w:gridSpan w:val="2"/>
          </w:tcPr>
          <w:p w14:paraId="7CBE03C0" w14:textId="77777777" w:rsidR="00336EE1" w:rsidRPr="008851EE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  <w:r w:rsidRPr="008851EE">
              <w:rPr>
                <w:rFonts w:asciiTheme="majorBidi" w:hAnsiTheme="majorBidi" w:cstheme="majorBidi"/>
                <w:sz w:val="24"/>
                <w:szCs w:val="24"/>
                <w:lang w:val="it-IT" w:bidi="ar-IQ"/>
              </w:rPr>
              <w:t xml:space="preserve"> </w:t>
            </w:r>
            <w:r w:rsidRP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حاصل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على 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بكالوريوس ترجمة من الجامعة المستنصريّة-كلّيّة الآداب/قسم الترجمة – بغداد (2005)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و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بكالوريوس لاهوت من كلّيّة بابل للفلسفة واللاهوت – بغداد، وهذه الكلّيّة تصدر شهاداتها من الجامعة الأوربانيانيّة في روما (2006).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حاصل على ل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يسانس في دراسات الشرق الأدنى القديم من المعهد الحبري الكتابي </w:t>
            </w:r>
            <w:proofErr w:type="spellStart"/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  <w:lang w:bidi="syr-SY"/>
              </w:rPr>
              <w:t>Biblico</w:t>
            </w:r>
            <w:proofErr w:type="spellEnd"/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من كلّيّة دراسات الشرق الأدنى القديم </w:t>
            </w:r>
            <w:proofErr w:type="spellStart"/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  <w:lang w:bidi="syr-SY"/>
              </w:rPr>
              <w:t>Orientalistica</w:t>
            </w:r>
            <w:proofErr w:type="spellEnd"/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 روما (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2011)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و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دبلوم في دراسات ما بعد التخصص في علم المكتبات </w:t>
            </w:r>
            <w:proofErr w:type="spellStart"/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  <w:lang w:bidi="syr-SY"/>
              </w:rPr>
              <w:t>Biblioteconomia</w:t>
            </w:r>
            <w:proofErr w:type="spellEnd"/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من مدرسة المكتبة الفاتيكانيّة – حاضرة دولة الفاتيكان (2013)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و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حاز على شهادة الدكتوراه بتقدير الامتياز مع مرتبة الشرف </w:t>
            </w:r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  <w:lang w:bidi="syr-SY"/>
              </w:rPr>
              <w:t>Summa cum Laude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سنة (2014) في فلسفة دراسات الشرق الأدنى القديم من ذات الكلّيّة، عنوان الاطروحة: (إنجيل مرقس في الترجمة السريانيّة الحرقليّة، نصٌ نقدي مستمد من أقدم المخطوطات).</w:t>
            </w:r>
          </w:p>
          <w:p w14:paraId="20A2C62D" w14:textId="77777777" w:rsidR="00336EE1" w:rsidRPr="008851EE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شارك في مؤتمر اللغة السريانيّة الحادي عشر "</w:t>
            </w:r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  <w:lang w:bidi="syr-SY"/>
              </w:rPr>
              <w:t>Symposium Syriacum XI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" المنعقد في مالطا للفترة من 16 الى 18 تموز 2012 والقى بحثاً عن أهمية المخطوط الكلداني رقم 25 في تأسيس النص النقدي لانجيل مرقس في الترجمة السريانيّة الحرقليّة بعنوان: (</w:t>
            </w:r>
            <w:r w:rsidRPr="008851EE">
              <w:rPr>
                <w:rFonts w:asciiTheme="majorBidi" w:eastAsia="Garamond,Italic" w:hAnsiTheme="majorBidi" w:cstheme="majorBidi"/>
                <w:i/>
                <w:iCs/>
                <w:sz w:val="24"/>
                <w:szCs w:val="24"/>
                <w:lang w:eastAsia="en-GB"/>
              </w:rPr>
              <w:t xml:space="preserve">Between Two Millennia: Assessing the Syriac </w:t>
            </w:r>
            <w:proofErr w:type="spellStart"/>
            <w:r w:rsidRPr="008851EE">
              <w:rPr>
                <w:rFonts w:asciiTheme="majorBidi" w:eastAsia="Garamond,Italic" w:hAnsiTheme="majorBidi" w:cstheme="majorBidi"/>
                <w:i/>
                <w:iCs/>
                <w:sz w:val="24"/>
                <w:szCs w:val="24"/>
                <w:lang w:eastAsia="en-GB"/>
              </w:rPr>
              <w:t>Harklean</w:t>
            </w:r>
            <w:proofErr w:type="spellEnd"/>
            <w:r w:rsidRPr="008851EE">
              <w:rPr>
                <w:rFonts w:asciiTheme="majorBidi" w:eastAsia="Garamond,Italic" w:hAnsiTheme="majorBidi" w:cstheme="majorBidi"/>
                <w:i/>
                <w:iCs/>
                <w:sz w:val="24"/>
                <w:szCs w:val="24"/>
                <w:lang w:eastAsia="en-GB"/>
              </w:rPr>
              <w:t xml:space="preserve"> Tetra-Euangelion Manuscript C 25 from the Depository of the “Chaldean Antonian Order of St. Hormizd-Iraq”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).</w:t>
            </w:r>
          </w:p>
          <w:p w14:paraId="1F9975B4" w14:textId="77777777" w:rsidR="00336EE1" w:rsidRPr="008851EE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حازت أطروحة الدكتوراه التي ناقشها على موافقة السلسلة العلميّة "</w:t>
            </w:r>
            <w:r w:rsidRPr="008851EE">
              <w:rPr>
                <w:rFonts w:asciiTheme="majorBidi" w:eastAsia="Garamond,Italic" w:hAnsiTheme="majorBidi" w:cstheme="majorBidi"/>
                <w:i/>
                <w:iCs/>
                <w:sz w:val="24"/>
                <w:szCs w:val="24"/>
                <w:lang w:eastAsia="en-GB"/>
              </w:rPr>
              <w:t>Biblica et Orientalia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" ونشرتها كاملة ضمن سلسلتها لتحمل الرقم 52 في مستهل العام 2015، وتحمل العنوان الآتي: إنجيل مرقس في الترجمة السريانيّة الحرقليّة، نصٌ نقدي مستمد من أقدم المخطوطات "</w:t>
            </w:r>
            <w:r w:rsidRPr="008851EE">
              <w:rPr>
                <w:rFonts w:asciiTheme="majorBidi" w:hAnsiTheme="majorBidi" w:cstheme="majorBidi"/>
                <w:sz w:val="24"/>
                <w:szCs w:val="24"/>
              </w:rPr>
              <w:t xml:space="preserve">The Gospel of Mark in the Syriac </w:t>
            </w:r>
            <w:proofErr w:type="spellStart"/>
            <w:r w:rsidRPr="008851EE">
              <w:rPr>
                <w:rFonts w:asciiTheme="majorBidi" w:hAnsiTheme="majorBidi" w:cstheme="majorBidi"/>
                <w:sz w:val="24"/>
                <w:szCs w:val="24"/>
              </w:rPr>
              <w:t>Harklean</w:t>
            </w:r>
            <w:proofErr w:type="spellEnd"/>
            <w:r w:rsidRPr="008851EE">
              <w:rPr>
                <w:rFonts w:asciiTheme="majorBidi" w:hAnsiTheme="majorBidi" w:cstheme="majorBidi"/>
                <w:sz w:val="24"/>
                <w:szCs w:val="24"/>
              </w:rPr>
              <w:t xml:space="preserve"> Version, </w:t>
            </w:r>
            <w:r w:rsidRPr="008851E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 Edition Based upon the Earliest Witness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".</w:t>
            </w:r>
          </w:p>
          <w:p w14:paraId="5D454D8F" w14:textId="77777777" w:rsidR="00336EE1" w:rsidRPr="008851EE" w:rsidRDefault="00336EE1" w:rsidP="00C448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عيّن بتاريخ 7 شباط 2015 عميداً بالوكالة لكلّيّة بابل للفلسفة واللاهوت في عنكاوة - أربيل. تنحى عن منصبه بتاريخ 1 كانون الاول 2016، لكنّه لايزال بتقديم المحاضرات بنفس الكلّيّة.</w:t>
            </w:r>
          </w:p>
          <w:p w14:paraId="634D7EA2" w14:textId="46BD589E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هو أ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حد اعضاء اللجنة الخماسية التي انبثق عنها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قسم اللغة ال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سريانيّة في كل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ة التربية جامعة صلاح الدين،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تعين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استاذ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ًا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نفس القسم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سنة 2018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3069" w:type="dxa"/>
          </w:tcPr>
          <w:p w14:paraId="22B102E7" w14:textId="7CA495EC" w:rsidR="00336EE1" w:rsidRPr="009D6C10" w:rsidRDefault="00336EE1" w:rsidP="00336EE1">
            <w:pPr>
              <w:bidi/>
              <w:spacing w:after="0" w:line="240" w:lineRule="auto"/>
              <w:ind w:left="-114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٨.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الملف الاکادیمی للتدریسی</w:t>
            </w:r>
          </w:p>
          <w:p w14:paraId="6BF1E5E9" w14:textId="77777777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946B17A" w14:textId="77777777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CE9E613" w14:textId="77777777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013DE4E1" w14:textId="77777777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E8A1690" w14:textId="77777777" w:rsidR="00336EE1" w:rsidRPr="009D6C10" w:rsidRDefault="00336EE1" w:rsidP="00336EE1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336EE1" w:rsidRPr="00747A9A" w14:paraId="2CFF49D6" w14:textId="77777777" w:rsidTr="00336EE1">
        <w:trPr>
          <w:jc w:val="right"/>
        </w:trPr>
        <w:tc>
          <w:tcPr>
            <w:tcW w:w="7200" w:type="dxa"/>
            <w:gridSpan w:val="2"/>
          </w:tcPr>
          <w:p w14:paraId="676FBE69" w14:textId="79180B0D" w:rsidR="00336EE1" w:rsidRPr="006766CD" w:rsidRDefault="00336EE1" w:rsidP="00C4480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لغة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وأدب سرياني، لغة وآدب آرامي، مخطوطات، نقد أدبي، ساميات مقارنة، لغة عبرية.</w:t>
            </w:r>
          </w:p>
        </w:tc>
        <w:tc>
          <w:tcPr>
            <w:tcW w:w="3069" w:type="dxa"/>
          </w:tcPr>
          <w:p w14:paraId="44E8AB45" w14:textId="4168D9C9" w:rsidR="00336EE1" w:rsidRPr="009D6C10" w:rsidRDefault="00336EE1" w:rsidP="00C44803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٩.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مفاتیح الموضوع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336EE1" w:rsidRPr="00747A9A" w14:paraId="5EA9AAB5" w14:textId="77777777" w:rsidTr="00336EE1">
        <w:trPr>
          <w:trHeight w:val="1125"/>
          <w:jc w:val="right"/>
        </w:trPr>
        <w:tc>
          <w:tcPr>
            <w:tcW w:w="10269" w:type="dxa"/>
            <w:gridSpan w:val="3"/>
          </w:tcPr>
          <w:p w14:paraId="6A1910E2" w14:textId="0301610B" w:rsidR="00336EE1" w:rsidRPr="00336EE1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١٠.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ظ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عام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عن الکورس: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سيتم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تعر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ف الطلاب على مبادئ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هذا المبحث الجديد نسبياً في عالم الدراسات الادبية ومهد نشأته والمدارس الغربية التي نادت به وطرقها المتعددة في المقارنة بين النصوص الادبية، وتعميق الافكار التي قدمت لهم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في مرحلة البكالوريوس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 ففي هذه المرحلة المتقدمة من الدراسة سنهتم بالتعمّق في أدق تفاصيل الدراسات ال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مقارنة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ومن ثم تطبيق هذه المبادئ على النصوص السريانية في فترات زمنية محددة ومقارنتها فيما بينها بحسب المباحث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الاكاديمية العالمية غير التقليدية للغة.</w:t>
            </w:r>
          </w:p>
        </w:tc>
      </w:tr>
      <w:tr w:rsidR="00336EE1" w:rsidRPr="00A419D5" w14:paraId="30949CAB" w14:textId="77777777" w:rsidTr="00336EE1">
        <w:trPr>
          <w:trHeight w:val="850"/>
          <w:jc w:val="right"/>
        </w:trPr>
        <w:tc>
          <w:tcPr>
            <w:tcW w:w="10269" w:type="dxa"/>
            <w:gridSpan w:val="3"/>
          </w:tcPr>
          <w:p w14:paraId="2E06BE38" w14:textId="6F656F20" w:rsidR="00336EE1" w:rsidRPr="009D6C10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١١.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اهداف الکورس:</w:t>
            </w:r>
          </w:p>
          <w:p w14:paraId="1EE70D14" w14:textId="14E543ED" w:rsidR="00336EE1" w:rsidRPr="000A58DF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معرفة شاملة بمبادئ المقارنة الادبية.</w:t>
            </w:r>
          </w:p>
          <w:p w14:paraId="20ED8DFC" w14:textId="30CE763A" w:rsidR="00336EE1" w:rsidRPr="000A58DF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تمييز المدارس الادبية وتحديد ما يمكن تطبي</w:t>
            </w:r>
            <w:r w:rsidR="0087261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ق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 على اللغة السريانية</w:t>
            </w: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546CCE98" w14:textId="475983B5" w:rsidR="00336EE1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نظرة شمولية على الحقب الزمنية للنصوص السريانية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D3E7316" w14:textId="6EC6B466" w:rsidR="00336EE1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أعلام الحقب الزمنية ونتاجاتهم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FD1F2FB" w14:textId="6261AA48" w:rsidR="00336EE1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4D1C9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مقارنات </w:t>
            </w:r>
            <w:r w:rsidR="0063557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باستخدام </w:t>
            </w:r>
            <w:r w:rsidR="00635571" w:rsidRPr="0063557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القياس الحالي والقياس التاريخي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5F587CD" w14:textId="2ECC9789" w:rsidR="00872616" w:rsidRDefault="00872616" w:rsidP="008726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اقامة الدليلين الداخلي والخارجي.</w:t>
            </w:r>
          </w:p>
          <w:p w14:paraId="585B2830" w14:textId="2A777A76" w:rsidR="00872616" w:rsidRDefault="00872616" w:rsidP="00336E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بيان مبدأ التأثير والتأثر.</w:t>
            </w:r>
          </w:p>
          <w:p w14:paraId="73A58963" w14:textId="29A2747A" w:rsidR="00336EE1" w:rsidRPr="009D6C10" w:rsidRDefault="00336EE1" w:rsidP="00872616">
            <w:p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مقارنة الافكار والاساليب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336EE1" w:rsidRPr="00747A9A" w14:paraId="1ED26D63" w14:textId="77777777" w:rsidTr="00336EE1">
        <w:trPr>
          <w:trHeight w:val="704"/>
          <w:jc w:val="right"/>
        </w:trPr>
        <w:tc>
          <w:tcPr>
            <w:tcW w:w="10269" w:type="dxa"/>
            <w:gridSpan w:val="3"/>
          </w:tcPr>
          <w:p w14:paraId="504B0FC8" w14:textId="44B9615B" w:rsidR="00336EE1" w:rsidRPr="009D6C10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١٢.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وضی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ف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الطالب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7AFB8962" w14:textId="50238F8C" w:rsidR="00336EE1" w:rsidRPr="009D6C10" w:rsidRDefault="00336EE1" w:rsidP="00336EE1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ينبغي على الطلاب الالتزام بال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لقاءات الاسبوعية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والمشاركة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الحية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تفعيل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النشاط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الاسبوعي والمناقشة بين الزملاء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واكمال الواجبات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اسبوع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ية، بالاضافة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تقييم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الاسبوعي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من خلال الامتحانات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دور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ية. ويتم محاسبة الطالب في حال غيابه بدون عذر مشروع او اجازة من مدرس المادة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واللجنة العلمية ورئاسة القسم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336EE1" w:rsidRPr="00747A9A" w14:paraId="37B1436C" w14:textId="77777777" w:rsidTr="00336EE1">
        <w:trPr>
          <w:trHeight w:val="704"/>
          <w:jc w:val="right"/>
        </w:trPr>
        <w:tc>
          <w:tcPr>
            <w:tcW w:w="10269" w:type="dxa"/>
            <w:gridSpan w:val="3"/>
          </w:tcPr>
          <w:p w14:paraId="09BB4151" w14:textId="4E39EEE1" w:rsidR="00336EE1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١٣. اشکال التدریس:</w:t>
            </w:r>
          </w:p>
          <w:p w14:paraId="02D16F8E" w14:textId="0E6A61DD" w:rsidR="00336EE1" w:rsidRPr="006766CD" w:rsidRDefault="00336EE1" w:rsidP="00336EE1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يتم الاعتماد في التدريس على عدة أشياء، منها: داتاشو، واستخدام السبورة البيضاء والمن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هج الكتابي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ة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والمصادر والمراجع العامة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ي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تقسم مفرداته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على شكل محاضرات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اسبوعية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توزع على الطلبة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لاعدادها مسبقاً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336EE1" w:rsidRPr="00747A9A" w14:paraId="49B6FFCC" w14:textId="77777777" w:rsidTr="00336EE1">
        <w:trPr>
          <w:trHeight w:val="704"/>
          <w:jc w:val="right"/>
        </w:trPr>
        <w:tc>
          <w:tcPr>
            <w:tcW w:w="10269" w:type="dxa"/>
            <w:gridSpan w:val="3"/>
          </w:tcPr>
          <w:p w14:paraId="26745FDA" w14:textId="4ABF9261" w:rsidR="00336EE1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١٤. مخطط التقییم:</w:t>
            </w:r>
          </w:p>
          <w:p w14:paraId="37EE3D6B" w14:textId="2923B650" w:rsidR="00336EE1" w:rsidRPr="00B916A8" w:rsidRDefault="00336EE1" w:rsidP="00336EE1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يتم اختبار الطلبة على عدة أشكال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التقييم اليومي والذي يعتمد على الحضور والمشاركة والا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متحان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ات ال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يوم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ية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وتقديم التقارير،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وعرض احد الكتب او المقالات بشكل سيمنار، وتقديم سيمنار من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احد المصادر المعتمدة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أمّا النوع الثاني فهو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اختبار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تحريري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سيمتحن الطالب امتحان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اً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نصف فصلي وامتحان</w:t>
            </w:r>
            <w:r w:rsidR="0087261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نهائي</w:t>
            </w:r>
            <w:r w:rsidR="0087261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والدرجات ستوزع كالاتي: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5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درج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ات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للامتحانات ال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يوم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ة،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و10 لتقييم 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عرض مقال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</w:t>
            </w:r>
            <w:r w:rsidR="008575B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 5 درجات للتقارير،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و10 درجات للسيمنارات، و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20 درجة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للامتحان نصف الفصلي: المجموع للمعدل =(50 درجة)،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الـ(5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درجة)</w:t>
            </w:r>
            <w:r w:rsidRPr="000818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الباقية ستكون من حصة الامتحان النهائي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336EE1" w:rsidRPr="00747A9A" w14:paraId="47016536" w14:textId="77777777" w:rsidTr="00336EE1">
        <w:trPr>
          <w:trHeight w:val="704"/>
          <w:jc w:val="right"/>
        </w:trPr>
        <w:tc>
          <w:tcPr>
            <w:tcW w:w="10269" w:type="dxa"/>
            <w:gridSpan w:val="3"/>
          </w:tcPr>
          <w:p w14:paraId="0C800B5B" w14:textId="1F07EB75" w:rsidR="00336EE1" w:rsidRPr="00FD5CFB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١٥.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نتائج تعلیم الطالب:</w:t>
            </w:r>
          </w:p>
          <w:p w14:paraId="08EE4B75" w14:textId="77777777" w:rsidR="00336EE1" w:rsidRPr="00673778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في نهاية الكورس ينبغي ان يكون الطالب قد تعلم الاتي:</w:t>
            </w:r>
          </w:p>
          <w:p w14:paraId="49D03247" w14:textId="070A8352" w:rsidR="008575B4" w:rsidRPr="000A58DF" w:rsidRDefault="008575B4" w:rsidP="008575B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أن تكون له معرفة شاملة بمبادئ المقارنة الادبية.</w:t>
            </w:r>
          </w:p>
          <w:p w14:paraId="53259C51" w14:textId="4FEC6BD6" w:rsidR="008575B4" w:rsidRPr="000A58DF" w:rsidRDefault="008575B4" w:rsidP="008575B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أن يكون قادراً على تمييز المدارس الادبية وتحديد ما يمكن تطبي</w:t>
            </w:r>
            <w:r w:rsidR="0087261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 على اللغة السريانية</w:t>
            </w: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4EAB70D" w14:textId="247F1ABF" w:rsidR="008575B4" w:rsidRDefault="008575B4" w:rsidP="008575B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A58D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أن تكون له نظرة شمولية على الحقب الزمنية للنصوص السريانية.</w:t>
            </w:r>
          </w:p>
          <w:p w14:paraId="1B7D4F95" w14:textId="61F16FF9" w:rsidR="008575B4" w:rsidRDefault="008575B4" w:rsidP="008575B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أن يكون ملماً بأغلب وأهم الأعلام في الحقب الزمنية المختلفة ونتاجاتهم.</w:t>
            </w:r>
          </w:p>
          <w:p w14:paraId="3162C326" w14:textId="55FE253A" w:rsidR="008575B4" w:rsidRDefault="008575B4" w:rsidP="008575B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أن يكون قادراً على اجراء مقارنات </w:t>
            </w:r>
            <w:r w:rsidR="0063557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أدبية باستخدام </w:t>
            </w:r>
            <w:r w:rsidR="00635571" w:rsidRPr="0063557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القياس الحالي والقياس التاريخي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55E22386" w14:textId="604CC061" w:rsidR="00872616" w:rsidRDefault="00872616" w:rsidP="008726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أن يكون قادراً على اقامة الدليلين الداخلي والخارجي وبيان التأثير والتأثر.</w:t>
            </w:r>
          </w:p>
          <w:p w14:paraId="0E009283" w14:textId="4639E994" w:rsidR="00336EE1" w:rsidRPr="00FD5CFB" w:rsidRDefault="008575B4" w:rsidP="008575B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أن يكون قادراً على اجراء مقارنة للافكار والاساليب الادبية بموضوعية </w:t>
            </w:r>
            <w:r w:rsidR="0063557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ورهافة حس وعلمية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336EE1" w:rsidRPr="00747A9A" w14:paraId="4ABA45FC" w14:textId="77777777" w:rsidTr="00336EE1">
        <w:trPr>
          <w:jc w:val="right"/>
        </w:trPr>
        <w:tc>
          <w:tcPr>
            <w:tcW w:w="10269" w:type="dxa"/>
            <w:gridSpan w:val="3"/>
          </w:tcPr>
          <w:p w14:paraId="1B94963F" w14:textId="70F2AB15" w:rsidR="00336EE1" w:rsidRPr="00CF07BF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CF07B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١٦.</w:t>
            </w:r>
            <w:r w:rsidRPr="00CF07BF">
              <w:rPr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F07B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اسماء المراجع والمصادر :</w:t>
            </w:r>
          </w:p>
          <w:p w14:paraId="1407E0E9" w14:textId="05F5E8AD" w:rsidR="00336EE1" w:rsidRPr="00673778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يتم الاعتماد على عدة مصادر اجنبية بالاساس الى جانب ما كتب باللغة العربية، إذ توجد مصادر بلغات عالمية وبالاخص الانكليزية </w:t>
            </w:r>
            <w:r w:rsidR="00CF07BF"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قد </w:t>
            </w:r>
            <w:r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تناولت </w:t>
            </w:r>
            <w:r w:rsidR="00CF07BF"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وباسهاب الدراسات الادبية المقارنة وتاريخ الادب </w:t>
            </w:r>
            <w:r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السرياني بشكل مفصل</w:t>
            </w:r>
            <w:r w:rsidR="00CF07BF"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وبعض الدراسات المقارنة</w:t>
            </w:r>
            <w:r w:rsidRPr="00CF07B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 منها: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1AB56F40" w14:textId="77777777" w:rsidR="005B1F59" w:rsidRPr="003D0E8F" w:rsidRDefault="005B1F59" w:rsidP="005B1F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spacing w:after="0" w:line="240" w:lineRule="auto"/>
              <w:ind w:left="4" w:firstLine="0"/>
              <w:jc w:val="both"/>
              <w:rPr>
                <w:rFonts w:ascii="Simplified Arabic" w:hAnsi="Simplified Arabic" w:cs="Simplified Arabic"/>
              </w:rPr>
            </w:pPr>
            <w:r w:rsidRPr="003D0E8F">
              <w:rPr>
                <w:rFonts w:ascii="Simplified Arabic" w:hAnsi="Simplified Arabic" w:cs="Simplified Arabic"/>
                <w:rtl/>
              </w:rPr>
              <w:t>البير ابونا، ادب اللغة الارامية (بيروت ١٩٩٦)</w:t>
            </w:r>
          </w:p>
          <w:p w14:paraId="3D79B913" w14:textId="77777777" w:rsidR="005B1F59" w:rsidRPr="003D0E8F" w:rsidRDefault="005B1F59" w:rsidP="005B1F59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bidi/>
              <w:adjustRightInd w:val="0"/>
              <w:spacing w:after="0" w:line="240" w:lineRule="auto"/>
              <w:ind w:left="4" w:firstLine="0"/>
              <w:jc w:val="both"/>
              <w:rPr>
                <w:rFonts w:ascii="Simplified Arabic" w:hAnsi="Simplified Arabic" w:cs="Simplified Arabic"/>
              </w:rPr>
            </w:pPr>
            <w:r w:rsidRPr="003D0E8F">
              <w:rPr>
                <w:rFonts w:ascii="Simplified Arabic" w:hAnsi="Simplified Arabic" w:cs="Simplified Arabic"/>
                <w:rtl/>
              </w:rPr>
              <w:t>ربنسن دوفال، تاريخ الادب السرياني (بغداد ١٩٩٢)</w:t>
            </w:r>
          </w:p>
          <w:p w14:paraId="01BDEB0B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Brock, S.P.,</w:t>
            </w: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</w:rPr>
              <w:t> Emerton, J.A., (1980). “</w:t>
            </w:r>
            <w:r w:rsidRPr="003D0E8F">
              <w:rPr>
                <w:rStyle w:val="Emphasis"/>
                <w:rFonts w:asciiTheme="majorBidi" w:eastAsiaTheme="minorHAnsi" w:hAnsiTheme="majorBidi" w:cstheme="majorBidi" w:hint="eastAsia"/>
                <w:i w:val="0"/>
                <w:iCs w:val="0"/>
                <w:color w:val="000000" w:themeColor="text1"/>
                <w:sz w:val="24"/>
                <w:szCs w:val="24"/>
              </w:rPr>
              <w:t>An Introduction to Syriac Studies</w:t>
            </w: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</w:rPr>
              <w:t>”, in Horizons in Semitic Studies: Articles for the Student, Birmingham: University of Birmingham, pp. 1–33.</w:t>
            </w:r>
          </w:p>
          <w:p w14:paraId="6DEEB001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inorBidi"/>
                <w:color w:val="000000" w:themeColor="text1"/>
                <w:sz w:val="24"/>
                <w:szCs w:val="24"/>
                <w:lang w:bidi="ku-Arab-IQ"/>
              </w:rPr>
            </w:pP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Brock, S.P., (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1984</w:t>
            </w: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Syriac Perspectives on late Antiquity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Variorum Reprints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78E2FA3E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Brock, S.P., (1992),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Studies in Syriac Christianity: History, Literature and Theology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36A7123D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Brock, S.P., (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1997</w:t>
            </w:r>
            <w:r w:rsidRPr="003D0E8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 Brief Outline of Syriac Literature.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Kottayam.</w:t>
            </w:r>
          </w:p>
          <w:p w14:paraId="42736F6C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Habib, M.A.R., (2005),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A History of Literary Criticism from Plato to The Present. 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Blackwell.</w:t>
            </w:r>
          </w:p>
          <w:p w14:paraId="61866417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Hall, V., (1963),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A Short History of Literary Criticism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The Merlin Press London.</w:t>
            </w:r>
          </w:p>
          <w:p w14:paraId="7BBAA8BC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Romeny</w:t>
            </w:r>
            <w:proofErr w:type="spellEnd"/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R.B.T.H., (2006)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Text, Translation, and Tradition Studies on the Peshitta and Its Use in the Syriac Tradition Presented to Konrad D. Jenner on the Occasion of His Sixty-Fifth Birthday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Vol 15, Brill.</w:t>
            </w:r>
          </w:p>
          <w:p w14:paraId="42E82118" w14:textId="77777777" w:rsidR="005B1F59" w:rsidRPr="003D0E8F" w:rsidRDefault="005B1F59" w:rsidP="005B1F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Romeny</w:t>
            </w:r>
            <w:proofErr w:type="spellEnd"/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R.B.T.H. (ed.), (2008), 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Jacob of Edessa and the Syriac Culture of His Day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Brill.</w:t>
            </w:r>
          </w:p>
          <w:p w14:paraId="0FDDCAD0" w14:textId="31E09628" w:rsidR="00336EE1" w:rsidRPr="005B1F59" w:rsidRDefault="005B1F59" w:rsidP="005B1F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Trosborg, A. (ed.), (2010),</w:t>
            </w:r>
            <w:r w:rsidRPr="003D0E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Pragmatics across languages and cultures</w:t>
            </w:r>
            <w:r w:rsidRPr="003D0E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Walter de Gruyter GmbH &amp; Co. KG, Berlin/New York.</w:t>
            </w:r>
          </w:p>
        </w:tc>
      </w:tr>
      <w:tr w:rsidR="00336EE1" w:rsidRPr="00747A9A" w14:paraId="73067996" w14:textId="77777777" w:rsidTr="00336EE1">
        <w:trPr>
          <w:trHeight w:val="600"/>
          <w:jc w:val="right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14:paraId="7F428F04" w14:textId="6F48D411" w:rsidR="00336EE1" w:rsidRPr="00FD5CFB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اسم التدریسی</w:t>
            </w:r>
          </w:p>
        </w:tc>
        <w:tc>
          <w:tcPr>
            <w:tcW w:w="882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3F25728" w14:textId="0E0A1C5F" w:rsidR="00336EE1" w:rsidRPr="00FD5CFB" w:rsidRDefault="00336EE1" w:rsidP="00336EE1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١٧.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منهج الموضوع:</w:t>
            </w:r>
          </w:p>
        </w:tc>
      </w:tr>
      <w:tr w:rsidR="00336EE1" w:rsidRPr="00FD5CFB" w14:paraId="0C18FAC4" w14:textId="77777777" w:rsidTr="00336EE1">
        <w:trPr>
          <w:trHeight w:val="408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683" w14:textId="25687EE1" w:rsidR="00336EE1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333F7" w14:textId="1EF0A4DA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الاول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1C8A98EA" w14:textId="6C3526AC" w:rsidR="00336EE1" w:rsidRPr="00FD5CFB" w:rsidRDefault="005B1F59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مقدمة تاريخية لنشوء وتطور الدراسات الادبية المقارنة 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="0080732E" w:rsidRPr="005B1F59">
              <w:rPr>
                <w:rFonts w:hint="cs"/>
                <w:sz w:val="24"/>
                <w:szCs w:val="24"/>
                <w:rtl/>
                <w:lang w:bidi="ar-IQ"/>
              </w:rPr>
              <w:t>المدارس العالمية</w:t>
            </w:r>
          </w:p>
        </w:tc>
      </w:tr>
      <w:tr w:rsidR="00336EE1" w:rsidRPr="00747A9A" w14:paraId="77E21682" w14:textId="77777777" w:rsidTr="00336EE1">
        <w:trPr>
          <w:trHeight w:val="348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A5E" w14:textId="34D83B55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BF1E0" w14:textId="1EB32F1B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val="en-US" w:bidi="ku-Arab-IQ"/>
              </w:rPr>
              <w:t>ثانی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217032F" w14:textId="28475B13" w:rsidR="00336EE1" w:rsidRPr="00FD5CFB" w:rsidRDefault="0080732E" w:rsidP="005B1F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مبادئ عامة وتطبيقية </w:t>
            </w:r>
            <w:r w:rsidR="005B1F59" w:rsidRPr="005B1F59">
              <w:rPr>
                <w:rFonts w:hint="cs"/>
                <w:sz w:val="24"/>
                <w:szCs w:val="24"/>
                <w:rtl/>
                <w:lang w:bidi="ar-IQ"/>
              </w:rPr>
              <w:t>للدراسات المقارنة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مع الامثلة</w:t>
            </w:r>
          </w:p>
        </w:tc>
      </w:tr>
      <w:tr w:rsidR="00336EE1" w:rsidRPr="00747A9A" w14:paraId="284BCC00" w14:textId="77777777" w:rsidTr="00336EE1">
        <w:trPr>
          <w:trHeight w:val="384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5DC" w14:textId="66690232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88F1D" w14:textId="58843D19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3128380" w14:textId="1919BAC4" w:rsidR="00336EE1" w:rsidRPr="00FD5CFB" w:rsidRDefault="0080732E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5B1F59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مراحل تطور الادب السرياني الفترة (أ وب) (مقارنة بين الادباء السريان)</w:t>
            </w:r>
          </w:p>
        </w:tc>
      </w:tr>
      <w:tr w:rsidR="00336EE1" w:rsidRPr="00747A9A" w14:paraId="39521FF5" w14:textId="77777777" w:rsidTr="00336EE1">
        <w:trPr>
          <w:trHeight w:val="300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4F9" w14:textId="65861B98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FEB0" w14:textId="7177D911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C378766" w14:textId="1487CA78" w:rsidR="00336EE1" w:rsidRPr="00FD5CFB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>مراحل تطور الادب السرياني الفترة (ج) (مقارنة بين الادباء السريان)</w:t>
            </w:r>
          </w:p>
        </w:tc>
      </w:tr>
      <w:tr w:rsidR="00336EE1" w:rsidRPr="00747A9A" w14:paraId="76CDEDD8" w14:textId="77777777" w:rsidTr="00336EE1">
        <w:trPr>
          <w:trHeight w:val="360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783" w14:textId="64DD717B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46E12" w14:textId="0F4C2948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الخامس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FAFD010" w14:textId="2E8D6EFE" w:rsidR="00336EE1" w:rsidRPr="00FD5CFB" w:rsidRDefault="0080732E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مراحل تطور الادب السرياني الفترة (د) (مقارنة بين الادباء السريان)</w:t>
            </w:r>
          </w:p>
        </w:tc>
      </w:tr>
      <w:tr w:rsidR="00336EE1" w:rsidRPr="00747A9A" w14:paraId="6A67454D" w14:textId="77777777" w:rsidTr="00336EE1">
        <w:trPr>
          <w:trHeight w:val="348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9B5" w14:textId="1E575EAB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857FE" w14:textId="077DC4FC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السادس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89FED81" w14:textId="3C6213D8" w:rsidR="00336EE1" w:rsidRPr="00FD5CFB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>مراحل تطور الادب السرياني الفترة (هـ) (مقارنة بين الادباء السريان)</w:t>
            </w:r>
          </w:p>
        </w:tc>
      </w:tr>
      <w:tr w:rsidR="00336EE1" w:rsidRPr="00747A9A" w14:paraId="440B99CB" w14:textId="77777777" w:rsidTr="00336EE1">
        <w:trPr>
          <w:trHeight w:val="312"/>
          <w:jc w:val="righ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0F0" w14:textId="18D77794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AB536" w14:textId="7F774DE5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89AC1D9" w14:textId="3941F57B" w:rsidR="00336EE1" w:rsidRPr="00FD5CFB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>مراحل تطور الادب السرياني الفترة (و) (مقارنة بين الادباء السريان)</w:t>
            </w:r>
          </w:p>
        </w:tc>
      </w:tr>
      <w:tr w:rsidR="00336EE1" w:rsidRPr="00747A9A" w14:paraId="2DC0BC4E" w14:textId="77777777" w:rsidTr="00336EE1">
        <w:trPr>
          <w:trHeight w:val="528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6B674C" w14:textId="1D1317C0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44DEB" w14:textId="5D78719B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الثامن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6566A47A" w14:textId="32B3EA83" w:rsidR="00336EE1" w:rsidRPr="00FD5CFB" w:rsidRDefault="005B1F59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المقارنات الأدبية باستخدام </w:t>
            </w:r>
            <w:r w:rsidR="0080732E" w:rsidRPr="0063557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القياس الحالي والقياس التاريخي</w:t>
            </w:r>
          </w:p>
        </w:tc>
      </w:tr>
      <w:tr w:rsidR="00336EE1" w:rsidRPr="00747A9A" w14:paraId="62C15A64" w14:textId="77777777" w:rsidTr="00336EE1">
        <w:trPr>
          <w:trHeight w:val="456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E6DF48" w14:textId="0082CFF6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431F" w14:textId="6E9F932B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التاسع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C109217" w14:textId="3DBC226A" w:rsidR="00336EE1" w:rsidRPr="00FD5CFB" w:rsidRDefault="0080732E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مقارنة الافكار والاساليب عند الادباء السريان والآداب المجاورة</w:t>
            </w:r>
          </w:p>
        </w:tc>
      </w:tr>
      <w:tr w:rsidR="00336EE1" w:rsidRPr="00747A9A" w14:paraId="64001C21" w14:textId="77777777" w:rsidTr="00336EE1">
        <w:trPr>
          <w:trHeight w:val="504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3285EE" w14:textId="3570AE1D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8BAB1" w14:textId="79651746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العاشر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C48E82F" w14:textId="3B49BA43" w:rsidR="00336EE1" w:rsidRPr="00C44803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DC32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مقارنة الافكار والاساليب عند الادباء السريان والآداب المجاورة</w:t>
            </w:r>
          </w:p>
        </w:tc>
      </w:tr>
      <w:tr w:rsidR="00336EE1" w:rsidRPr="00747A9A" w14:paraId="1859407D" w14:textId="77777777" w:rsidTr="00336EE1">
        <w:trPr>
          <w:trHeight w:val="528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5CBED4" w14:textId="3ED46CA6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C8424" w14:textId="0EA32827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الحادی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C118CF5" w14:textId="1D31721C" w:rsidR="00336EE1" w:rsidRPr="00C44803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>دروس عملية للمقارنة الادبية (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 xml:space="preserve">باستخدام 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>القياس الحالي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 xml:space="preserve"> والقياس التاريخي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36EE1" w:rsidRPr="00747A9A" w14:paraId="7A69A05B" w14:textId="77777777" w:rsidTr="00336EE1">
        <w:trPr>
          <w:trHeight w:val="528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83A3C8" w14:textId="7658E0A3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192B4" w14:textId="4205C3A3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الثانی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6F2F0898" w14:textId="24DE6A74" w:rsidR="00336EE1" w:rsidRPr="00C44803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 xml:space="preserve">دروس عملية للمقارنة الادبية 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>(باستخدام القياس الحالي والقياس التاريخي)</w:t>
            </w:r>
          </w:p>
        </w:tc>
      </w:tr>
      <w:tr w:rsidR="00336EE1" w:rsidRPr="00747A9A" w14:paraId="2DB222BD" w14:textId="77777777" w:rsidTr="00336EE1">
        <w:trPr>
          <w:trHeight w:val="540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F2C39B" w14:textId="4AAEC03B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4ADD1" w14:textId="4CADFC26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1A46EB00" w14:textId="24C36930" w:rsidR="00336EE1" w:rsidRPr="00C44803" w:rsidRDefault="005B1F59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>دروس عملية للمقارنة الادبية</w:t>
            </w:r>
            <w:r w:rsidR="0080732E">
              <w:rPr>
                <w:rFonts w:hint="cs"/>
                <w:sz w:val="24"/>
                <w:szCs w:val="24"/>
                <w:rtl/>
                <w:lang w:bidi="ar-IQ"/>
              </w:rPr>
              <w:t xml:space="preserve"> (مقارنة الاعمال الادبية السريانية مع أدباء من المحيط المجاور)</w:t>
            </w:r>
            <w:r w:rsidR="00DC322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36EE1" w:rsidRPr="00747A9A" w14:paraId="58635EA5" w14:textId="77777777" w:rsidTr="00336EE1">
        <w:trPr>
          <w:trHeight w:val="444"/>
          <w:jc w:val="right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54E3FC" w14:textId="2D116A61" w:rsidR="00336EE1" w:rsidRPr="00811FF8" w:rsidRDefault="00C44803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val="it-IT" w:bidi="ar-IQ"/>
              </w:rPr>
              <w:t>د. سامر صوريشو يوحنّا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8DEAB" w14:textId="6C548D33" w:rsidR="00336EE1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2EBB095F" w14:textId="05E7CA82" w:rsidR="00336EE1" w:rsidRDefault="00DC3222" w:rsidP="00C4480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دروس عملية للمقارنة الادبية (مقارنة الاعمال الادبية السريانية مع أدباء من المحيط المجاور)</w:t>
            </w:r>
          </w:p>
        </w:tc>
      </w:tr>
      <w:tr w:rsidR="00336EE1" w:rsidRPr="00747A9A" w14:paraId="233E5D6E" w14:textId="77777777" w:rsidTr="00C44803">
        <w:trPr>
          <w:trHeight w:val="902"/>
          <w:jc w:val="right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9C93C" w14:textId="77777777" w:rsidR="00C44803" w:rsidRDefault="00336EE1" w:rsidP="00336EE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١٨.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الیات واسلوب توزیع الدرجات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  <w:r w:rsidR="00C44803"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7622770E" w14:textId="406F2275" w:rsidR="00336EE1" w:rsidRPr="009D6C10" w:rsidRDefault="00C44803" w:rsidP="00C4480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مشاركة الطالب في النشاطات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اسبوع</w:t>
            </w: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ية من خلال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شرح المادة ومناقشتها مع الزملاء باشراف استاذ المادة</w:t>
            </w: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336EE1" w:rsidRPr="00747A9A" w14:paraId="27EB5D28" w14:textId="77777777" w:rsidTr="00C44803">
        <w:trPr>
          <w:trHeight w:val="1833"/>
          <w:jc w:val="right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2EA27" w14:textId="07DC78F5" w:rsidR="00336EE1" w:rsidRPr="009D6C10" w:rsidRDefault="00336EE1" w:rsidP="00336EE1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lastRenderedPageBreak/>
              <w:t xml:space="preserve">١٩.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نما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val="en-US" w:bidi="ku-Arab-IQ"/>
              </w:rPr>
              <w:t>ذج الامتحان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</w:p>
          <w:p w14:paraId="3FD349A4" w14:textId="593A6BA5" w:rsidR="00C44803" w:rsidRPr="00671DB6" w:rsidRDefault="00C44803" w:rsidP="00C4480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الاسئلة توضع باللغ</w:t>
            </w:r>
            <w:r w:rsid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العربية</w:t>
            </w: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2AC10366" w14:textId="144F09A9" w:rsidR="0080732E" w:rsidRDefault="0080732E" w:rsidP="005B1F59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شرح عام لهذا المبحث الادبي ومدارسه واسسه.</w:t>
            </w:r>
          </w:p>
          <w:p w14:paraId="18113482" w14:textId="3AAA1A55" w:rsidR="00C44803" w:rsidRPr="005B1F59" w:rsidRDefault="005B1F59" w:rsidP="0080732E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شرح للفترات التاريخية للادب السرياني.</w:t>
            </w:r>
          </w:p>
          <w:p w14:paraId="3D4334A8" w14:textId="00979685" w:rsidR="005B1F59" w:rsidRDefault="005B1F59" w:rsidP="005B1F59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تقديم مميزات للاعمال الادبية السريانية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بحسب الأدباء السريان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5B7C241D" w14:textId="77777777" w:rsidR="005B1F59" w:rsidRDefault="005B1F59" w:rsidP="005B1F59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شرح المبادئ العامة للمقارنة الادبية بين النصوص بحسب المدارس العالمية.</w:t>
            </w:r>
          </w:p>
          <w:p w14:paraId="0ED1F687" w14:textId="54B83A86" w:rsidR="00336EE1" w:rsidRPr="005B1F59" w:rsidRDefault="00C44803" w:rsidP="005B1F59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اعطاء نص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ين</w:t>
            </w:r>
            <w:r w:rsidRP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بالسرياني 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ولغة اخرى </w:t>
            </w:r>
            <w:r w:rsidRP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ومن ثم تحديد </w:t>
            </w:r>
            <w:r w:rsid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العناصر الادبية المهمة فيه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</w:t>
            </w:r>
            <w:r w:rsid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ومحاولة مقارنته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</w:t>
            </w:r>
            <w:r w:rsid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مع الافكار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من ذات المرحلة الزمنية او في مراحل لاحقة</w:t>
            </w:r>
            <w:r w:rsidR="00807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واقامة الأدلة والتأثر</w:t>
            </w:r>
            <w:r w:rsidRPr="005B1F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6EE1" w:rsidRPr="00747A9A" w14:paraId="6BF40CCC" w14:textId="77777777" w:rsidTr="00C44803">
        <w:trPr>
          <w:trHeight w:val="842"/>
          <w:jc w:val="right"/>
        </w:trPr>
        <w:tc>
          <w:tcPr>
            <w:tcW w:w="10269" w:type="dxa"/>
            <w:gridSpan w:val="3"/>
            <w:tcBorders>
              <w:top w:val="single" w:sz="4" w:space="0" w:color="auto"/>
            </w:tcBorders>
          </w:tcPr>
          <w:p w14:paraId="580FA9DB" w14:textId="7C4A4BBC" w:rsidR="00336EE1" w:rsidRPr="009D6C10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٢٠.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ملاحضات اضافی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336EE1" w:rsidRPr="00747A9A" w14:paraId="4CF9314A" w14:textId="77777777" w:rsidTr="00C44803">
        <w:trPr>
          <w:cantSplit/>
          <w:trHeight w:val="706"/>
          <w:jc w:val="right"/>
        </w:trPr>
        <w:tc>
          <w:tcPr>
            <w:tcW w:w="10269" w:type="dxa"/>
            <w:gridSpan w:val="3"/>
          </w:tcPr>
          <w:p w14:paraId="0EAAE877" w14:textId="3AC60893" w:rsidR="00336EE1" w:rsidRPr="009D6C10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٢١. </w:t>
            </w:r>
            <w:r w:rsidRPr="00AB7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rtl/>
              </w:rPr>
              <w:t>استعراض النظراء</w:t>
            </w:r>
            <w:r w:rsidRPr="00AB7832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7BA9BD5" w14:textId="6EB8B58B" w:rsidR="00336EE1" w:rsidRPr="009D6C10" w:rsidRDefault="00336EE1" w:rsidP="00336E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</w:tbl>
    <w:p w14:paraId="2AFAFE8A" w14:textId="68ED0DF0" w:rsidR="006321CA" w:rsidRPr="005B1F59" w:rsidRDefault="00AB7832" w:rsidP="005B1F59">
      <w:pPr>
        <w:jc w:val="center"/>
        <w:rPr>
          <w:sz w:val="28"/>
          <w:szCs w:val="28"/>
        </w:rPr>
      </w:pPr>
      <w:r w:rsidRPr="00AB7832">
        <w:rPr>
          <w:sz w:val="28"/>
          <w:szCs w:val="28"/>
        </w:rPr>
        <w:t xml:space="preserve">* </w:t>
      </w:r>
      <w:r w:rsidRPr="00AB7832">
        <w:rPr>
          <w:sz w:val="28"/>
          <w:szCs w:val="28"/>
          <w:rtl/>
        </w:rPr>
        <w:t xml:space="preserve">يجب الحصول على موافقة اللجنة العلمية </w:t>
      </w:r>
      <w:r>
        <w:rPr>
          <w:rFonts w:hint="cs"/>
          <w:sz w:val="28"/>
          <w:szCs w:val="28"/>
          <w:rtl/>
        </w:rPr>
        <w:t>والدراسات العلیا</w:t>
      </w:r>
    </w:p>
    <w:sectPr w:rsidR="006321CA" w:rsidRPr="005B1F59" w:rsidSect="006B43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0824" w14:textId="77777777" w:rsidR="006B43D0" w:rsidRDefault="006B43D0" w:rsidP="00483DD0">
      <w:pPr>
        <w:spacing w:after="0" w:line="240" w:lineRule="auto"/>
      </w:pPr>
      <w:r>
        <w:separator/>
      </w:r>
    </w:p>
  </w:endnote>
  <w:endnote w:type="continuationSeparator" w:id="0">
    <w:p w14:paraId="0109E5B8" w14:textId="77777777" w:rsidR="006B43D0" w:rsidRDefault="006B43D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702" w14:textId="77777777" w:rsidR="00BF2177" w:rsidRPr="00483DD0" w:rsidRDefault="00BF21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900008" w14:textId="77777777" w:rsidR="00BF2177" w:rsidRDefault="00BF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511E" w14:textId="77777777" w:rsidR="006B43D0" w:rsidRDefault="006B43D0" w:rsidP="00483DD0">
      <w:pPr>
        <w:spacing w:after="0" w:line="240" w:lineRule="auto"/>
      </w:pPr>
      <w:r>
        <w:separator/>
      </w:r>
    </w:p>
  </w:footnote>
  <w:footnote w:type="continuationSeparator" w:id="0">
    <w:p w14:paraId="6A28B028" w14:textId="77777777" w:rsidR="006B43D0" w:rsidRDefault="006B43D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54D9" w14:textId="77777777" w:rsidR="00BF2177" w:rsidRPr="00441BF4" w:rsidRDefault="00BF21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D5"/>
    <w:multiLevelType w:val="hybridMultilevel"/>
    <w:tmpl w:val="0732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846"/>
    <w:multiLevelType w:val="hybridMultilevel"/>
    <w:tmpl w:val="9C18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E67"/>
    <w:multiLevelType w:val="multilevel"/>
    <w:tmpl w:val="1170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C8D"/>
    <w:multiLevelType w:val="hybridMultilevel"/>
    <w:tmpl w:val="6A4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35"/>
    <w:multiLevelType w:val="hybridMultilevel"/>
    <w:tmpl w:val="97842A00"/>
    <w:lvl w:ilvl="0" w:tplc="93EEA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BDE"/>
    <w:multiLevelType w:val="multilevel"/>
    <w:tmpl w:val="DF9E502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21C3"/>
    <w:multiLevelType w:val="hybridMultilevel"/>
    <w:tmpl w:val="C94E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2AEA"/>
    <w:multiLevelType w:val="hybridMultilevel"/>
    <w:tmpl w:val="01DE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2361"/>
    <w:multiLevelType w:val="hybridMultilevel"/>
    <w:tmpl w:val="09D0C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21767C3"/>
    <w:multiLevelType w:val="multilevel"/>
    <w:tmpl w:val="DF42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5307A7"/>
    <w:multiLevelType w:val="hybridMultilevel"/>
    <w:tmpl w:val="56D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C228B"/>
    <w:multiLevelType w:val="hybridMultilevel"/>
    <w:tmpl w:val="D80E1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4C2838">
      <w:start w:val="1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246181"/>
    <w:multiLevelType w:val="hybridMultilevel"/>
    <w:tmpl w:val="7972A94E"/>
    <w:lvl w:ilvl="0" w:tplc="160066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D14A5"/>
    <w:multiLevelType w:val="hybridMultilevel"/>
    <w:tmpl w:val="4E78A402"/>
    <w:lvl w:ilvl="0" w:tplc="6DC6C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455D"/>
    <w:multiLevelType w:val="hybridMultilevel"/>
    <w:tmpl w:val="EE6675E4"/>
    <w:lvl w:ilvl="0" w:tplc="E7B0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7252">
    <w:abstractNumId w:val="0"/>
  </w:num>
  <w:num w:numId="2" w16cid:durableId="2017728564">
    <w:abstractNumId w:val="20"/>
  </w:num>
  <w:num w:numId="3" w16cid:durableId="998077084">
    <w:abstractNumId w:val="2"/>
  </w:num>
  <w:num w:numId="4" w16cid:durableId="1214198607">
    <w:abstractNumId w:val="16"/>
  </w:num>
  <w:num w:numId="5" w16cid:durableId="688218208">
    <w:abstractNumId w:val="17"/>
  </w:num>
  <w:num w:numId="6" w16cid:durableId="51008903">
    <w:abstractNumId w:val="10"/>
  </w:num>
  <w:num w:numId="7" w16cid:durableId="1145859367">
    <w:abstractNumId w:val="5"/>
  </w:num>
  <w:num w:numId="8" w16cid:durableId="672728495">
    <w:abstractNumId w:val="13"/>
  </w:num>
  <w:num w:numId="9" w16cid:durableId="852065755">
    <w:abstractNumId w:val="4"/>
  </w:num>
  <w:num w:numId="10" w16cid:durableId="837766405">
    <w:abstractNumId w:val="15"/>
  </w:num>
  <w:num w:numId="11" w16cid:durableId="1973093393">
    <w:abstractNumId w:val="6"/>
  </w:num>
  <w:num w:numId="12" w16cid:durableId="1872961118">
    <w:abstractNumId w:val="25"/>
  </w:num>
  <w:num w:numId="13" w16cid:durableId="395933095">
    <w:abstractNumId w:val="24"/>
  </w:num>
  <w:num w:numId="14" w16cid:durableId="1600067115">
    <w:abstractNumId w:val="3"/>
  </w:num>
  <w:num w:numId="15" w16cid:durableId="1208567172">
    <w:abstractNumId w:val="9"/>
  </w:num>
  <w:num w:numId="16" w16cid:durableId="794954872">
    <w:abstractNumId w:val="23"/>
  </w:num>
  <w:num w:numId="17" w16cid:durableId="1415130896">
    <w:abstractNumId w:val="7"/>
  </w:num>
  <w:num w:numId="18" w16cid:durableId="1699431209">
    <w:abstractNumId w:val="1"/>
  </w:num>
  <w:num w:numId="19" w16cid:durableId="2109081032">
    <w:abstractNumId w:val="11"/>
  </w:num>
  <w:num w:numId="20" w16cid:durableId="1010452346">
    <w:abstractNumId w:val="14"/>
  </w:num>
  <w:num w:numId="21" w16cid:durableId="1355377732">
    <w:abstractNumId w:val="18"/>
  </w:num>
  <w:num w:numId="22" w16cid:durableId="1256086326">
    <w:abstractNumId w:val="8"/>
  </w:num>
  <w:num w:numId="23" w16cid:durableId="408966654">
    <w:abstractNumId w:val="19"/>
  </w:num>
  <w:num w:numId="24" w16cid:durableId="5207129">
    <w:abstractNumId w:val="12"/>
  </w:num>
  <w:num w:numId="25" w16cid:durableId="1781492742">
    <w:abstractNumId w:val="22"/>
  </w:num>
  <w:num w:numId="26" w16cid:durableId="10360099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5D5"/>
    <w:rsid w:val="00010701"/>
    <w:rsid w:val="00010DF7"/>
    <w:rsid w:val="00016017"/>
    <w:rsid w:val="00040D2A"/>
    <w:rsid w:val="00041384"/>
    <w:rsid w:val="00066972"/>
    <w:rsid w:val="00072D2F"/>
    <w:rsid w:val="000B0AE0"/>
    <w:rsid w:val="000C5533"/>
    <w:rsid w:val="000D0187"/>
    <w:rsid w:val="000F0683"/>
    <w:rsid w:val="000F2337"/>
    <w:rsid w:val="000F6BAC"/>
    <w:rsid w:val="001259AE"/>
    <w:rsid w:val="00125F70"/>
    <w:rsid w:val="00141233"/>
    <w:rsid w:val="00154B1E"/>
    <w:rsid w:val="001647A7"/>
    <w:rsid w:val="00165709"/>
    <w:rsid w:val="00186D4C"/>
    <w:rsid w:val="001C1A72"/>
    <w:rsid w:val="001C7656"/>
    <w:rsid w:val="00210BCB"/>
    <w:rsid w:val="002277AC"/>
    <w:rsid w:val="00227E6A"/>
    <w:rsid w:val="002439AF"/>
    <w:rsid w:val="0025284B"/>
    <w:rsid w:val="00283711"/>
    <w:rsid w:val="00283835"/>
    <w:rsid w:val="00290056"/>
    <w:rsid w:val="002A3710"/>
    <w:rsid w:val="002B7CC7"/>
    <w:rsid w:val="002D054E"/>
    <w:rsid w:val="002F44B8"/>
    <w:rsid w:val="00336EE1"/>
    <w:rsid w:val="00354756"/>
    <w:rsid w:val="0036794D"/>
    <w:rsid w:val="00377C21"/>
    <w:rsid w:val="003B06CF"/>
    <w:rsid w:val="003F58D0"/>
    <w:rsid w:val="004219B4"/>
    <w:rsid w:val="00441BF4"/>
    <w:rsid w:val="004451C6"/>
    <w:rsid w:val="00467DC4"/>
    <w:rsid w:val="00476E33"/>
    <w:rsid w:val="00483DD0"/>
    <w:rsid w:val="004D1C94"/>
    <w:rsid w:val="004D4B73"/>
    <w:rsid w:val="0050456B"/>
    <w:rsid w:val="0050769B"/>
    <w:rsid w:val="00507AB3"/>
    <w:rsid w:val="00521CBA"/>
    <w:rsid w:val="005266C6"/>
    <w:rsid w:val="005344A4"/>
    <w:rsid w:val="00542D54"/>
    <w:rsid w:val="00555CAF"/>
    <w:rsid w:val="00561292"/>
    <w:rsid w:val="005738DD"/>
    <w:rsid w:val="00574C0A"/>
    <w:rsid w:val="00585EB5"/>
    <w:rsid w:val="005B1F59"/>
    <w:rsid w:val="005D047A"/>
    <w:rsid w:val="005D1B8F"/>
    <w:rsid w:val="005E6CD7"/>
    <w:rsid w:val="0061344A"/>
    <w:rsid w:val="006321CA"/>
    <w:rsid w:val="00634F2B"/>
    <w:rsid w:val="00635571"/>
    <w:rsid w:val="00657BB0"/>
    <w:rsid w:val="006766CD"/>
    <w:rsid w:val="00677656"/>
    <w:rsid w:val="0068308C"/>
    <w:rsid w:val="0069194B"/>
    <w:rsid w:val="00695467"/>
    <w:rsid w:val="006A102C"/>
    <w:rsid w:val="006A3D8E"/>
    <w:rsid w:val="006A57BA"/>
    <w:rsid w:val="006B234E"/>
    <w:rsid w:val="006B43D0"/>
    <w:rsid w:val="006C3B09"/>
    <w:rsid w:val="006C6238"/>
    <w:rsid w:val="006F5726"/>
    <w:rsid w:val="007165B7"/>
    <w:rsid w:val="00716C85"/>
    <w:rsid w:val="00761FA1"/>
    <w:rsid w:val="00776A82"/>
    <w:rsid w:val="00792739"/>
    <w:rsid w:val="00795637"/>
    <w:rsid w:val="007A3500"/>
    <w:rsid w:val="007B3BB1"/>
    <w:rsid w:val="007C53A4"/>
    <w:rsid w:val="007C6EB3"/>
    <w:rsid w:val="007E17D7"/>
    <w:rsid w:val="007E5570"/>
    <w:rsid w:val="007F0899"/>
    <w:rsid w:val="0080086A"/>
    <w:rsid w:val="0080732E"/>
    <w:rsid w:val="00807B53"/>
    <w:rsid w:val="00811FF8"/>
    <w:rsid w:val="00820CD1"/>
    <w:rsid w:val="00830EE6"/>
    <w:rsid w:val="0083464F"/>
    <w:rsid w:val="00835AA2"/>
    <w:rsid w:val="00856600"/>
    <w:rsid w:val="008575B4"/>
    <w:rsid w:val="00862738"/>
    <w:rsid w:val="00872616"/>
    <w:rsid w:val="00881962"/>
    <w:rsid w:val="0089032C"/>
    <w:rsid w:val="008904FF"/>
    <w:rsid w:val="008A2425"/>
    <w:rsid w:val="008B15A9"/>
    <w:rsid w:val="008B4275"/>
    <w:rsid w:val="008D46A4"/>
    <w:rsid w:val="008D6356"/>
    <w:rsid w:val="008F111D"/>
    <w:rsid w:val="00903F31"/>
    <w:rsid w:val="009547F3"/>
    <w:rsid w:val="009613A6"/>
    <w:rsid w:val="00961D90"/>
    <w:rsid w:val="00975532"/>
    <w:rsid w:val="00982239"/>
    <w:rsid w:val="00987258"/>
    <w:rsid w:val="009A7407"/>
    <w:rsid w:val="009D4636"/>
    <w:rsid w:val="009D6C10"/>
    <w:rsid w:val="009D6D25"/>
    <w:rsid w:val="009F71A2"/>
    <w:rsid w:val="009F721D"/>
    <w:rsid w:val="009F7BEC"/>
    <w:rsid w:val="00A03D00"/>
    <w:rsid w:val="00A15D9A"/>
    <w:rsid w:val="00A419D5"/>
    <w:rsid w:val="00A9079F"/>
    <w:rsid w:val="00A97B39"/>
    <w:rsid w:val="00AA09B5"/>
    <w:rsid w:val="00AA42E9"/>
    <w:rsid w:val="00AB0077"/>
    <w:rsid w:val="00AB338A"/>
    <w:rsid w:val="00AB7832"/>
    <w:rsid w:val="00AD68F9"/>
    <w:rsid w:val="00AE31BC"/>
    <w:rsid w:val="00B270BF"/>
    <w:rsid w:val="00B341B9"/>
    <w:rsid w:val="00B55B5D"/>
    <w:rsid w:val="00B61B9B"/>
    <w:rsid w:val="00B62A4E"/>
    <w:rsid w:val="00B66EBB"/>
    <w:rsid w:val="00B73F9B"/>
    <w:rsid w:val="00B83227"/>
    <w:rsid w:val="00B916A8"/>
    <w:rsid w:val="00BA54F9"/>
    <w:rsid w:val="00BA630A"/>
    <w:rsid w:val="00BB79DC"/>
    <w:rsid w:val="00BD4687"/>
    <w:rsid w:val="00BD5581"/>
    <w:rsid w:val="00BD5B70"/>
    <w:rsid w:val="00BF17E5"/>
    <w:rsid w:val="00BF2177"/>
    <w:rsid w:val="00C26D96"/>
    <w:rsid w:val="00C44803"/>
    <w:rsid w:val="00C46D58"/>
    <w:rsid w:val="00C525DA"/>
    <w:rsid w:val="00C55B18"/>
    <w:rsid w:val="00C60305"/>
    <w:rsid w:val="00C8021A"/>
    <w:rsid w:val="00C857AF"/>
    <w:rsid w:val="00CB0D81"/>
    <w:rsid w:val="00CB4DBC"/>
    <w:rsid w:val="00CC5CD1"/>
    <w:rsid w:val="00CF07BF"/>
    <w:rsid w:val="00CF5475"/>
    <w:rsid w:val="00D03437"/>
    <w:rsid w:val="00D14FCA"/>
    <w:rsid w:val="00D233E7"/>
    <w:rsid w:val="00D36852"/>
    <w:rsid w:val="00D42D94"/>
    <w:rsid w:val="00D65C1B"/>
    <w:rsid w:val="00DA1B94"/>
    <w:rsid w:val="00DC3222"/>
    <w:rsid w:val="00DC403F"/>
    <w:rsid w:val="00DC4A25"/>
    <w:rsid w:val="00DC5DD6"/>
    <w:rsid w:val="00E034CA"/>
    <w:rsid w:val="00E13B54"/>
    <w:rsid w:val="00E21941"/>
    <w:rsid w:val="00E27865"/>
    <w:rsid w:val="00E53A17"/>
    <w:rsid w:val="00E5488E"/>
    <w:rsid w:val="00E61090"/>
    <w:rsid w:val="00E61AD2"/>
    <w:rsid w:val="00E73767"/>
    <w:rsid w:val="00E823BE"/>
    <w:rsid w:val="00E873BC"/>
    <w:rsid w:val="00E95307"/>
    <w:rsid w:val="00EB3800"/>
    <w:rsid w:val="00ED3387"/>
    <w:rsid w:val="00ED6023"/>
    <w:rsid w:val="00EE60FC"/>
    <w:rsid w:val="00F325A0"/>
    <w:rsid w:val="00F408EA"/>
    <w:rsid w:val="00F9448D"/>
    <w:rsid w:val="00F965B3"/>
    <w:rsid w:val="00FA004A"/>
    <w:rsid w:val="00FA32C6"/>
    <w:rsid w:val="00FA5B28"/>
    <w:rsid w:val="00FB7AFF"/>
    <w:rsid w:val="00FB7C7A"/>
    <w:rsid w:val="00FD437F"/>
    <w:rsid w:val="00FD5CFB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1BEC"/>
  <w15:docId w15:val="{74B7573E-2D7B-436F-8755-1E1D988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32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Style">
    <w:name w:val="Style"/>
    <w:rsid w:val="001C765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17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1B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er_rahe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557E-BE93-49A4-9924-9C8B724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Samer YOHANNA</cp:lastModifiedBy>
  <cp:revision>13</cp:revision>
  <cp:lastPrinted>2015-11-06T18:42:00Z</cp:lastPrinted>
  <dcterms:created xsi:type="dcterms:W3CDTF">2023-09-26T02:19:00Z</dcterms:created>
  <dcterms:modified xsi:type="dcterms:W3CDTF">2024-02-24T09:45:00Z</dcterms:modified>
</cp:coreProperties>
</file>