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Pr="00230D20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230D20" w:rsidRDefault="00230D20" w:rsidP="00230D20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8D46A4" w:rsidRPr="00230D20" w:rsidRDefault="008D46A4" w:rsidP="00230D2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230D20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Department of Fish Resource and Aquatic Animal</w:t>
      </w:r>
    </w:p>
    <w:p w:rsidR="00230D20" w:rsidRPr="00230D20" w:rsidRDefault="008D46A4" w:rsidP="00230D2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230D20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Agriculture</w:t>
      </w:r>
    </w:p>
    <w:p w:rsidR="008D46A4" w:rsidRPr="00230D20" w:rsidRDefault="008D46A4" w:rsidP="00230D2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University of </w:t>
      </w:r>
      <w:proofErr w:type="spellStart"/>
      <w:r w:rsidR="00CB5A81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Salahaddin</w:t>
      </w:r>
      <w:proofErr w:type="spellEnd"/>
    </w:p>
    <w:p w:rsidR="008D46A4" w:rsidRPr="00230D20" w:rsidRDefault="008D46A4" w:rsidP="009C746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6C5229">
        <w:rPr>
          <w:rFonts w:asciiTheme="majorBidi" w:hAnsiTheme="majorBidi" w:cstheme="majorBidi"/>
          <w:b/>
          <w:bCs/>
          <w:sz w:val="28"/>
          <w:szCs w:val="28"/>
          <w:lang w:bidi="ar-KW"/>
        </w:rPr>
        <w:t>Fish Diseases</w:t>
      </w:r>
    </w:p>
    <w:p w:rsidR="008D46A4" w:rsidRPr="00230D20" w:rsidRDefault="008D46A4" w:rsidP="009C746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695467" w:rsidRPr="00274ABC"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r w:rsidRPr="00274ABC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Year </w:t>
      </w:r>
      <w:r w:rsidR="00274ABC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  <w:r w:rsidR="00695467" w:rsidRPr="00274ABC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</w:p>
    <w:p w:rsidR="00230D20" w:rsidRPr="00230D20" w:rsidRDefault="008D46A4" w:rsidP="00230D20">
      <w:pPr>
        <w:pStyle w:val="HTMLPreformatted"/>
        <w:spacing w:line="288" w:lineRule="atLeast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230D20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7719CD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Dr. </w:t>
      </w:r>
      <w:proofErr w:type="spellStart"/>
      <w:r w:rsidR="00230D20" w:rsidRPr="00230D20">
        <w:rPr>
          <w:rFonts w:asciiTheme="majorBidi" w:hAnsiTheme="majorBidi" w:cstheme="majorBidi"/>
          <w:b/>
          <w:bCs/>
          <w:color w:val="000000"/>
          <w:sz w:val="28"/>
          <w:szCs w:val="28"/>
        </w:rPr>
        <w:t>Shamall</w:t>
      </w:r>
      <w:proofErr w:type="spellEnd"/>
      <w:r w:rsidR="00230D20" w:rsidRPr="00230D2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Mohammad Amin Abdullah</w:t>
      </w:r>
    </w:p>
    <w:p w:rsidR="008D46A4" w:rsidRPr="00230D20" w:rsidRDefault="008D46A4" w:rsidP="00230D2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:rsidR="008D46A4" w:rsidRPr="00230D20" w:rsidRDefault="008D46A4" w:rsidP="00FB7AF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Academic Year: </w:t>
      </w:r>
      <w:r w:rsidR="00AD502F">
        <w:rPr>
          <w:rFonts w:asciiTheme="majorBidi" w:hAnsiTheme="majorBidi" w:cstheme="majorBidi"/>
          <w:b/>
          <w:bCs/>
          <w:sz w:val="28"/>
          <w:szCs w:val="28"/>
          <w:lang w:bidi="ar-KW"/>
        </w:rPr>
        <w:t>2017</w:t>
      </w: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/</w:t>
      </w:r>
      <w:r w:rsidR="00230D20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502F">
        <w:rPr>
          <w:rFonts w:asciiTheme="majorBidi" w:hAnsiTheme="majorBidi" w:cstheme="majorBidi"/>
          <w:b/>
          <w:bCs/>
          <w:sz w:val="28"/>
          <w:szCs w:val="28"/>
          <w:lang w:bidi="ar-KW"/>
        </w:rPr>
        <w:t>2018</w:t>
      </w:r>
    </w:p>
    <w:p w:rsidR="00C46D58" w:rsidRPr="00230D20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1B2149" w:rsidRDefault="001B2149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785B88" w:rsidRDefault="006C5229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Fish Diseases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230D20" w:rsidRPr="00785B88" w:rsidRDefault="00EF3C01" w:rsidP="00785B88">
            <w:pPr>
              <w:pStyle w:val="HTMLPreformatted"/>
              <w:spacing w:before="24" w:after="24" w:line="276" w:lineRule="auto"/>
              <w:ind w:left="630" w:hanging="630"/>
              <w:jc w:val="both"/>
              <w:rPr>
                <w:rFonts w:asciiTheme="majorBidi" w:eastAsia="Calibri" w:hAnsiTheme="majorBidi" w:cstheme="majorBidi"/>
                <w:color w:val="000000"/>
                <w:lang w:val="en-GB"/>
              </w:rPr>
            </w:pPr>
            <w:proofErr w:type="spellStart"/>
            <w:r>
              <w:rPr>
                <w:rFonts w:asciiTheme="majorBidi" w:eastAsia="Calibri" w:hAnsiTheme="majorBidi" w:cstheme="majorBidi"/>
                <w:color w:val="000000"/>
                <w:lang w:val="en-GB"/>
              </w:rPr>
              <w:t>Dr.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  <w:lang w:val="en-GB"/>
              </w:rPr>
              <w:t xml:space="preserve"> </w:t>
            </w:r>
            <w:proofErr w:type="spellStart"/>
            <w:r w:rsidR="00230D20"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>Shamall</w:t>
            </w:r>
            <w:proofErr w:type="spellEnd"/>
            <w:r w:rsidR="00230D20"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 xml:space="preserve"> Mohammad Amin Abdullah</w:t>
            </w:r>
          </w:p>
          <w:p w:rsidR="008D46A4" w:rsidRPr="00785B88" w:rsidRDefault="008D46A4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Department/ </w:t>
            </w: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785B88" w:rsidRDefault="00230D20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Department of Fish Resource and Aquatic Animal</w:t>
            </w:r>
            <w:r w:rsidR="004406E6"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Agriculture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785B88" w:rsidRDefault="008D46A4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e-mail</w:t>
            </w:r>
            <w:r w:rsidRPr="00785B88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:</w:t>
            </w: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B2149"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shamall_m_a_abdullah</w:t>
            </w:r>
            <w:r w:rsidR="004406E6"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@yahoo.com</w:t>
            </w:r>
          </w:p>
          <w:p w:rsidR="008D46A4" w:rsidRPr="00785B88" w:rsidRDefault="008D46A4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Tel:</w:t>
            </w:r>
            <w:r w:rsidR="001B2149"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009647504640675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785B88" w:rsidRDefault="001B2149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Practical: 2</w:t>
            </w:r>
            <w:r w:rsidR="008D46A4"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785B88" w:rsidRDefault="004406E6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20-25 hrs.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785B88" w:rsidRDefault="00C20528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0F1AD8" w:rsidRPr="00785B88" w:rsidRDefault="000F1AD8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 graduate from Mosul University in 1985 (Ranked 6th in   collage). </w:t>
            </w:r>
          </w:p>
          <w:p w:rsidR="000F1AD8" w:rsidRPr="00785B88" w:rsidRDefault="000F1AD8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 1990 I finished my M.Sc. degree in </w:t>
            </w:r>
            <w:proofErr w:type="spellStart"/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Salahaddin</w:t>
            </w:r>
            <w:proofErr w:type="spellEnd"/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University, and start as Assistant Lecturer, in Parasitology, Department of Biology, College of Education, </w:t>
            </w:r>
            <w:proofErr w:type="spellStart"/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  <w:r w:rsidRPr="00785B88">
              <w:rPr>
                <w:rFonts w:asciiTheme="majorBidi" w:hAnsiTheme="majorBidi" w:cstheme="majorBidi"/>
                <w:color w:val="000000"/>
              </w:rPr>
              <w:t>a</w:t>
            </w: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lahaddin</w:t>
            </w:r>
            <w:proofErr w:type="spellEnd"/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University, teaching practical Parasitology, invertebrate, Zoology and Chordate.</w:t>
            </w:r>
          </w:p>
          <w:p w:rsidR="000F1AD8" w:rsidRPr="00785B88" w:rsidRDefault="000F1AD8" w:rsidP="00785B88">
            <w:pPr>
              <w:pStyle w:val="HTMLPreformatted"/>
              <w:spacing w:before="24" w:after="24" w:line="276" w:lineRule="auto"/>
              <w:ind w:left="630" w:hanging="630"/>
              <w:jc w:val="both"/>
              <w:rPr>
                <w:rFonts w:asciiTheme="majorBidi" w:eastAsia="Calibri" w:hAnsiTheme="majorBidi" w:cstheme="majorBidi"/>
                <w:color w:val="000000"/>
                <w:lang w:val="en-GB"/>
              </w:rPr>
            </w:pPr>
            <w:r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>In 2002 I finished my PhD degree in in Parasitology, Department of Biology, College of Education (</w:t>
            </w:r>
            <w:proofErr w:type="spellStart"/>
            <w:r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>Ibn</w:t>
            </w:r>
            <w:proofErr w:type="spellEnd"/>
            <w:r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 xml:space="preserve"> Al-</w:t>
            </w:r>
            <w:proofErr w:type="spellStart"/>
            <w:r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>Haitham</w:t>
            </w:r>
            <w:proofErr w:type="spellEnd"/>
            <w:r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 xml:space="preserve">), University of Baghdad, Iraq.   </w:t>
            </w:r>
          </w:p>
          <w:p w:rsidR="000F1AD8" w:rsidRPr="00785B88" w:rsidRDefault="000F1AD8" w:rsidP="00785B88">
            <w:pPr>
              <w:pStyle w:val="HTMLPreformatted"/>
              <w:spacing w:before="24" w:after="24" w:line="276" w:lineRule="auto"/>
              <w:ind w:left="630" w:hanging="630"/>
              <w:jc w:val="both"/>
              <w:rPr>
                <w:rFonts w:asciiTheme="majorBidi" w:eastAsia="Calibri" w:hAnsiTheme="majorBidi" w:cstheme="majorBidi"/>
                <w:color w:val="000000"/>
                <w:lang w:val="en-GB"/>
              </w:rPr>
            </w:pPr>
            <w:r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 xml:space="preserve">In 2010 Professor of Fish Parasitology. Department of Biology, College of Education, University of </w:t>
            </w:r>
            <w:proofErr w:type="spellStart"/>
            <w:r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>Slahaddin</w:t>
            </w:r>
            <w:proofErr w:type="spellEnd"/>
            <w:r w:rsidRPr="00785B88">
              <w:rPr>
                <w:rFonts w:asciiTheme="majorBidi" w:eastAsia="Calibri" w:hAnsiTheme="majorBidi" w:cstheme="majorBidi"/>
                <w:color w:val="000000"/>
                <w:lang w:val="en-GB"/>
              </w:rPr>
              <w:t>, Iraq.</w:t>
            </w:r>
          </w:p>
          <w:p w:rsidR="006766CD" w:rsidRPr="00785B88" w:rsidRDefault="000F1AD8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 2014 Professor of Fish Parasitology. Department of Fish Resource and Aquatic Animal, College Agriculture,</w:t>
            </w:r>
            <w:r w:rsidR="00C2052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Salahaddin</w:t>
            </w:r>
            <w:proofErr w:type="spellEnd"/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Erbil- Iraq.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6C5229" w:rsidP="006C5229">
            <w:pPr>
              <w:spacing w:before="24" w:after="24"/>
              <w:ind w:left="630" w:hanging="630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Fish, Diseases, Virus, Bacteria, fungi.</w:t>
            </w:r>
          </w:p>
        </w:tc>
      </w:tr>
      <w:tr w:rsidR="008D46A4" w:rsidRPr="00747A9A" w:rsidTr="00E1589B">
        <w:trPr>
          <w:trHeight w:val="523"/>
        </w:trPr>
        <w:tc>
          <w:tcPr>
            <w:tcW w:w="9093" w:type="dxa"/>
            <w:gridSpan w:val="3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10. 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Course overview:</w:t>
            </w:r>
            <w:r w:rsidR="006766CD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65663" w:rsidRPr="00D65663" w:rsidRDefault="004D1370" w:rsidP="00CE36A3">
            <w:pPr>
              <w:spacing w:before="24" w:after="24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Main aim of the course is to furnish to the student 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 good knowledge about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diseases of fish, with main </w:t>
            </w:r>
            <w:r w:rsid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reference to 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pathogenesis, </w:t>
            </w:r>
            <w:r w:rsid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</w:t>
            </w:r>
            <w:r w:rsidR="00CE36A3" w:rsidRP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xternal symptoms, Clinical Signs</w:t>
            </w:r>
            <w:r w:rsid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t</w:t>
            </w:r>
            <w:r w:rsidR="00CE36A3" w:rsidRP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ransmission</w:t>
            </w:r>
            <w:r w:rsid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CE36A3" w:rsidRP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prevention and control</w:t>
            </w:r>
            <w:r w:rsid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for each </w:t>
            </w:r>
            <w:r w:rsidR="00192B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group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diseases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Furthermore the student will acquire practical skill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 on diagnosis of main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diseases of aquatic animals.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904A7A" w:rsidRDefault="00CF5475" w:rsidP="00904A7A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11. </w:t>
            </w:r>
            <w:r w:rsidR="00FD437F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Course objective:</w:t>
            </w:r>
            <w:r w:rsidR="00904A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04A7A" w:rsidRPr="00904A7A" w:rsidRDefault="00904A7A" w:rsidP="00904A7A">
            <w:pPr>
              <w:pStyle w:val="ListParagraph"/>
              <w:numPr>
                <w:ilvl w:val="0"/>
                <w:numId w:val="18"/>
              </w:num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train students on issues of diseases o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 commercial fish species in Kurdistan region</w:t>
            </w: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including diagnosis, identification of microorganisms, therapy and prevention. </w:t>
            </w:r>
          </w:p>
          <w:p w:rsidR="00904A7A" w:rsidRPr="00904A7A" w:rsidRDefault="00904A7A" w:rsidP="00904A7A">
            <w:pPr>
              <w:pStyle w:val="ListParagraph"/>
              <w:numPr>
                <w:ilvl w:val="0"/>
                <w:numId w:val="18"/>
              </w:num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establish a basic knowledge about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principles of fish diseases</w:t>
            </w: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to create an </w:t>
            </w: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interest in this science.</w:t>
            </w:r>
          </w:p>
          <w:p w:rsidR="00904A7A" w:rsidRPr="00904A7A" w:rsidRDefault="00904A7A" w:rsidP="00904A7A">
            <w:pPr>
              <w:pStyle w:val="ListParagraph"/>
              <w:numPr>
                <w:ilvl w:val="0"/>
                <w:numId w:val="18"/>
              </w:num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prepare a good background of information necessary for upper division courses and later careers.</w:t>
            </w:r>
          </w:p>
          <w:p w:rsidR="00FD437F" w:rsidRPr="00904A7A" w:rsidRDefault="00904A7A" w:rsidP="00904A7A">
            <w:pPr>
              <w:pStyle w:val="ListParagraph"/>
              <w:numPr>
                <w:ilvl w:val="0"/>
                <w:numId w:val="18"/>
              </w:num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encourage the development of inductive and deductive reasoning and to promote better study and test-taking skills necessary for this and other courses.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785B88" w:rsidRDefault="00CF5475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12.  </w:t>
            </w:r>
            <w:r w:rsidR="00FE1252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Student's obligation</w:t>
            </w:r>
          </w:p>
          <w:p w:rsidR="00B916A8" w:rsidRPr="00AF4403" w:rsidRDefault="006A4636" w:rsidP="00785B88">
            <w:p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student’s</w:t>
            </w:r>
            <w:r w:rsidR="006C3B09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attendance 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class, exams and seminars</w:t>
            </w:r>
            <w:r w:rsidR="003B6252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</w:t>
            </w:r>
            <w:r w:rsidR="008810BB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other </w:t>
            </w:r>
            <w:r w:rsidR="00E1589B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activity like collecting sample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7719CD" w:rsidRPr="007719CD" w:rsidRDefault="007719CD" w:rsidP="007719CD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719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13. Forms of teaching</w:t>
            </w:r>
          </w:p>
          <w:p w:rsidR="007719CD" w:rsidRPr="007719CD" w:rsidRDefault="007719CD" w:rsidP="007719CD">
            <w:p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719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use of the following methods in the teaching process: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Data Show 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Presentation 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Course book 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Lecturer Bound 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Patient Magic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Description and goals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Lectures slides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Laboratory handouts</w:t>
            </w:r>
          </w:p>
          <w:p w:rsidR="007719CD" w:rsidRPr="007719CD" w:rsidRDefault="007719CD" w:rsidP="007719C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Assignments</w:t>
            </w:r>
          </w:p>
          <w:p w:rsidR="006A4636" w:rsidRPr="00AF4403" w:rsidRDefault="007719CD" w:rsidP="00CB15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Grading scale</w:t>
            </w:r>
            <w:r w:rsidR="00166EE8" w:rsidRPr="00785B8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785B88" w:rsidRDefault="00CF5475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14.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Assessment scheme</w:t>
            </w:r>
          </w:p>
          <w:p w:rsidR="000F2337" w:rsidRPr="00AF4403" w:rsidRDefault="006A4636" w:rsidP="00CB150A">
            <w:p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 </w:t>
            </w:r>
            <w:r w:rsidR="008D46A4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assessment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 the student through attendance in the class, course exams, quizzes and seminars or presentation the subjects th</w:t>
            </w:r>
            <w:r w:rsidR="00E1589B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CB15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 have relations with the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fishes and collecting diseases</w:t>
            </w:r>
            <w:r w:rsidR="00CB15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fish </w:t>
            </w:r>
            <w:r w:rsidR="00C51FC7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samples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="000F2337"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Pr="00785B88" w:rsidRDefault="00CF5475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15. </w:t>
            </w:r>
            <w:r w:rsidR="00001B33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Student learning outcome:</w:t>
            </w:r>
          </w:p>
          <w:p w:rsidR="007F0899" w:rsidRPr="00AF4403" w:rsidRDefault="00B40130" w:rsidP="00CB150A">
            <w:p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B40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students learn different important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things about the fish diseases</w:t>
            </w:r>
            <w:r w:rsidRPr="00B40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as learn the preparation the slides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identification some diseases</w:t>
            </w:r>
            <w:r w:rsidRPr="00B40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learn 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importance of fish diseases</w:t>
            </w:r>
            <w:r w:rsidRPr="00B40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identification in Kurdistan region and Iraq.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785B88" w:rsidRDefault="00CF5475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16.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Course Reading List and References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</w:p>
          <w:p w:rsidR="007B0B05" w:rsidRPr="00672563" w:rsidRDefault="00001B33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r w:rsidRPr="00672563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B92E1B" w:rsidRPr="00672563">
              <w:rPr>
                <w:rFonts w:asciiTheme="majorBidi" w:hAnsiTheme="majorBidi" w:cstheme="majorBidi"/>
                <w:color w:val="000000"/>
              </w:rPr>
              <w:t xml:space="preserve">      To prepare the subjects I u</w:t>
            </w:r>
            <w:r w:rsidR="00DC5F3B" w:rsidRPr="00672563">
              <w:rPr>
                <w:rFonts w:asciiTheme="majorBidi" w:hAnsiTheme="majorBidi" w:cstheme="majorBidi"/>
                <w:color w:val="000000"/>
              </w:rPr>
              <w:t xml:space="preserve">sing text book, as </w:t>
            </w:r>
          </w:p>
          <w:p w:rsidR="00B40130" w:rsidRPr="00672563" w:rsidRDefault="00B40130" w:rsidP="0093684F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Amlacher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>, E. (1970). Textbook of fish diseases (Engl. Transl.). T. F. H. Publ., Jersey city: 302pp.</w:t>
            </w:r>
          </w:p>
          <w:p w:rsidR="00B40130" w:rsidRPr="00672563" w:rsidRDefault="00B40130" w:rsidP="0093684F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Dujin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 xml:space="preserve">, Van C., Jnr. (1973). Diseases of fishes, 3rd </w:t>
            </w:r>
            <w:proofErr w:type="spellStart"/>
            <w:proofErr w:type="gramStart"/>
            <w:r w:rsidRPr="00672563">
              <w:rPr>
                <w:rFonts w:asciiTheme="majorBidi" w:hAnsiTheme="majorBidi" w:cstheme="majorBidi"/>
                <w:color w:val="000000"/>
              </w:rPr>
              <w:t>edn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>.,</w:t>
            </w:r>
            <w:proofErr w:type="gramEnd"/>
            <w:r w:rsidRPr="0067256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lliffe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 xml:space="preserve"> Books, London: 372pp.</w:t>
            </w:r>
          </w:p>
          <w:p w:rsidR="00B40130" w:rsidRPr="00672563" w:rsidRDefault="00B40130" w:rsidP="0093684F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Mhaisen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 xml:space="preserve">, F. T. (1980). Fish parasitology in Iraq. Basrah Nat. Hist. Mus. Publ. No. 3: 36pp. + </w:t>
            </w: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IXpls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>.</w:t>
            </w:r>
          </w:p>
          <w:p w:rsidR="00B40130" w:rsidRDefault="00B40130" w:rsidP="0093684F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Paperna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>, I. (1996). Parasites, infections and diseases of fishes in Africa- An update. C.I.F.A. Tech. Pap., No.31. Rome, FAO: 220p</w:t>
            </w:r>
            <w:r w:rsidR="00AD502F">
              <w:rPr>
                <w:rFonts w:asciiTheme="majorBidi" w:hAnsiTheme="majorBidi" w:cstheme="majorBidi"/>
                <w:color w:val="000000"/>
              </w:rPr>
              <w:t>p</w:t>
            </w:r>
            <w:r w:rsidRPr="00672563">
              <w:rPr>
                <w:rFonts w:asciiTheme="majorBidi" w:hAnsiTheme="majorBidi" w:cstheme="majorBidi"/>
                <w:color w:val="000000"/>
              </w:rPr>
              <w:t>.</w:t>
            </w:r>
          </w:p>
          <w:p w:rsidR="00AD502F" w:rsidRPr="00672563" w:rsidRDefault="00AD502F" w:rsidP="00AD50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502F">
              <w:rPr>
                <w:rFonts w:asciiTheme="majorBidi" w:hAnsiTheme="majorBidi" w:cstheme="majorBidi"/>
                <w:color w:val="000000"/>
              </w:rPr>
              <w:t>Hoole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, D. and </w:t>
            </w:r>
            <w:r w:rsidRPr="00AD502F">
              <w:rPr>
                <w:rFonts w:asciiTheme="majorBidi" w:hAnsiTheme="majorBidi" w:cstheme="majorBidi"/>
                <w:color w:val="000000"/>
              </w:rPr>
              <w:t xml:space="preserve">D. </w:t>
            </w:r>
            <w:proofErr w:type="spellStart"/>
            <w:r w:rsidRPr="00AD502F">
              <w:rPr>
                <w:rFonts w:asciiTheme="majorBidi" w:hAnsiTheme="majorBidi" w:cstheme="majorBidi"/>
                <w:color w:val="000000"/>
              </w:rPr>
              <w:t>Bucke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, D. (2001).</w:t>
            </w:r>
            <w:r>
              <w:rPr>
                <w:rFonts w:ascii="Palatino-Roman" w:eastAsia="Palatino-Roman" w:hAnsiTheme="minorHAnsi" w:cs="Palatino-Roman"/>
                <w:sz w:val="64"/>
                <w:szCs w:val="6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Diseases of c</w:t>
            </w:r>
            <w:r w:rsidRPr="00AD502F">
              <w:rPr>
                <w:rFonts w:asciiTheme="majorBidi" w:hAnsiTheme="majorBidi" w:cstheme="majorBidi"/>
                <w:color w:val="000000"/>
              </w:rPr>
              <w:t>arp and</w:t>
            </w:r>
            <w:r>
              <w:rPr>
                <w:rFonts w:asciiTheme="majorBidi" w:hAnsiTheme="majorBidi" w:cstheme="majorBidi"/>
                <w:color w:val="000000"/>
              </w:rPr>
              <w:t xml:space="preserve"> other cyprinid f</w:t>
            </w:r>
            <w:r w:rsidRPr="00AD502F">
              <w:rPr>
                <w:rFonts w:asciiTheme="majorBidi" w:hAnsiTheme="majorBidi" w:cstheme="majorBidi"/>
                <w:color w:val="000000"/>
              </w:rPr>
              <w:t>ishes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D502F">
              <w:rPr>
                <w:rFonts w:asciiTheme="majorBidi" w:hAnsiTheme="majorBidi" w:cstheme="majorBidi"/>
                <w:color w:val="000000"/>
              </w:rPr>
              <w:t xml:space="preserve"> Fishing News Books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Osney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Mead, Oxford: 280pp.</w:t>
            </w:r>
          </w:p>
          <w:p w:rsidR="00B92E1B" w:rsidRPr="00672563" w:rsidRDefault="0093684F" w:rsidP="0067256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672563">
              <w:rPr>
                <w:rFonts w:asciiTheme="majorBidi" w:hAnsiTheme="majorBidi" w:cstheme="majorBidi"/>
                <w:color w:val="000000"/>
              </w:rPr>
              <w:t>Woo</w:t>
            </w:r>
            <w:r w:rsidR="00B40130" w:rsidRPr="00672563">
              <w:rPr>
                <w:rFonts w:asciiTheme="majorBidi" w:hAnsiTheme="majorBidi" w:cstheme="majorBidi"/>
                <w:color w:val="000000"/>
              </w:rPr>
              <w:t xml:space="preserve">, P. T. K. (2006). Fish Diseases and Disorders, Vol. 1: protozoan and metazoan infections. 2nd </w:t>
            </w:r>
            <w:proofErr w:type="spellStart"/>
            <w:r w:rsidR="00B40130" w:rsidRPr="00672563">
              <w:rPr>
                <w:rFonts w:asciiTheme="majorBidi" w:hAnsiTheme="majorBidi" w:cstheme="majorBidi"/>
                <w:color w:val="000000"/>
              </w:rPr>
              <w:t>Edn</w:t>
            </w:r>
            <w:proofErr w:type="spellEnd"/>
            <w:r w:rsidR="00B40130" w:rsidRPr="00672563">
              <w:rPr>
                <w:rFonts w:asciiTheme="majorBidi" w:hAnsiTheme="majorBidi" w:cstheme="majorBidi"/>
                <w:color w:val="000000"/>
              </w:rPr>
              <w:t>. CAB International, London. 791pp.</w:t>
            </w:r>
            <w:r w:rsidR="00B92E1B" w:rsidRPr="00672563">
              <w:rPr>
                <w:rFonts w:asciiTheme="majorBidi" w:hAnsiTheme="majorBidi" w:cstheme="majorBidi"/>
                <w:color w:val="000000"/>
              </w:rPr>
              <w:t xml:space="preserve">                                                                                                 </w:t>
            </w:r>
          </w:p>
          <w:p w:rsidR="00CC5CD1" w:rsidRPr="00AF4403" w:rsidRDefault="00CC5CD1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85B88" w:rsidRDefault="00CF5475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17.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AF4403" w:rsidRDefault="008D46A4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Lecturer's name</w:t>
            </w:r>
          </w:p>
        </w:tc>
      </w:tr>
      <w:tr w:rsidR="008D46A4" w:rsidRPr="0084216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6197"/>
            </w:tblGrid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Definition of diseases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Health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Healthy person (fish)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Types of diseases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   -Infection diseases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   -Non-infection diseases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Important of study of fish diseases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Terminology </w:t>
                  </w: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of epidemiology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Epidemiologic triad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Degree of Infection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Disease Transmission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Stress in fishes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External examination of the diseased fish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External symptoms 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Biopsy Procedures</w:t>
                  </w:r>
                </w:p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Necropsy or autopsy Procedure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Viral diseases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Bacterial diseases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Fungi diseases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Dietary deficiency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Hereditary diseases</w:t>
                  </w:r>
                </w:p>
              </w:tc>
            </w:tr>
            <w:tr w:rsidR="0084216A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4216A" w:rsidRPr="0084216A" w:rsidRDefault="0084216A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Environmental diseases</w:t>
                  </w:r>
                </w:p>
              </w:tc>
            </w:tr>
          </w:tbl>
          <w:p w:rsidR="0082734C" w:rsidRPr="00AF4403" w:rsidRDefault="0082734C" w:rsidP="001321E4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AF4403" w:rsidRDefault="00001B33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D46A4" w:rsidRPr="0084216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84216A" w:rsidRDefault="00CF5475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18. </w:t>
            </w:r>
            <w:r w:rsidR="008D46A4"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Practical Topics</w:t>
            </w:r>
            <w:r w:rsidR="00001B33"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AF4403" w:rsidRDefault="008D46A4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D46A4" w:rsidRPr="0084216A" w:rsidTr="000144CC">
        <w:tc>
          <w:tcPr>
            <w:tcW w:w="6629" w:type="dxa"/>
            <w:gridSpan w:val="2"/>
          </w:tcPr>
          <w:p w:rsidR="008D46A4" w:rsidRPr="00AF4403" w:rsidRDefault="0084216A" w:rsidP="0067256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Example for each viral, bacteria, fungi, non-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infection diseases</w:t>
            </w:r>
          </w:p>
        </w:tc>
        <w:tc>
          <w:tcPr>
            <w:tcW w:w="2464" w:type="dxa"/>
          </w:tcPr>
          <w:p w:rsidR="008D46A4" w:rsidRPr="00AF4403" w:rsidRDefault="00B92E1B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A4" w:rsidRPr="0084216A" w:rsidTr="000144CC">
        <w:trPr>
          <w:trHeight w:val="732"/>
        </w:trPr>
        <w:tc>
          <w:tcPr>
            <w:tcW w:w="9093" w:type="dxa"/>
            <w:gridSpan w:val="3"/>
          </w:tcPr>
          <w:p w:rsidR="008D46A4" w:rsidRPr="0084216A" w:rsidRDefault="00CF5475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19. </w:t>
            </w:r>
            <w:r w:rsidR="008D46A4"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Examinations:</w:t>
            </w:r>
          </w:p>
          <w:p w:rsidR="005F700D" w:rsidRPr="00AF4403" w:rsidRDefault="0027375B" w:rsidP="0084216A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 the</w:t>
            </w:r>
            <w:r w:rsidR="00520135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exam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uses</w:t>
            </w:r>
            <w:r w:rsidR="00741405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6F2225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traditional system</w:t>
            </w:r>
            <w:r w:rsidR="00741405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and include different questions as true and false, blanks, define, describe a</w:t>
            </w:r>
            <w:r w:rsid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nd identify the fish parasite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diseases</w:t>
            </w:r>
            <w:r w:rsidR="00741405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8D46A4" w:rsidRPr="0084216A" w:rsidTr="000144CC">
        <w:trPr>
          <w:trHeight w:val="732"/>
        </w:trPr>
        <w:tc>
          <w:tcPr>
            <w:tcW w:w="9093" w:type="dxa"/>
            <w:gridSpan w:val="3"/>
          </w:tcPr>
          <w:p w:rsidR="008D46A4" w:rsidRPr="0084216A" w:rsidRDefault="00CF5475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20. </w:t>
            </w:r>
            <w:r w:rsidR="008D46A4"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Extra notes</w:t>
            </w:r>
            <w:r w:rsidR="001647A7"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</w:p>
          <w:p w:rsidR="001647A7" w:rsidRPr="00AF4403" w:rsidRDefault="0093684F" w:rsidP="0084216A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subjects</w:t>
            </w:r>
            <w:proofErr w:type="gramEnd"/>
            <w:r w:rsidRP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need field 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trips to identify some diseases</w:t>
            </w:r>
            <w:r w:rsidRP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which infect the fishes and fin</w:t>
            </w:r>
            <w:r w:rsidR="006C52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the new recording of diseases</w:t>
            </w:r>
            <w:r w:rsidRP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especially in our city.</w:t>
            </w:r>
          </w:p>
        </w:tc>
      </w:tr>
      <w:tr w:rsidR="00E61AD2" w:rsidRPr="0084216A" w:rsidTr="000144CC">
        <w:trPr>
          <w:trHeight w:val="732"/>
        </w:trPr>
        <w:tc>
          <w:tcPr>
            <w:tcW w:w="9093" w:type="dxa"/>
            <w:gridSpan w:val="3"/>
          </w:tcPr>
          <w:p w:rsidR="00E61AD2" w:rsidRPr="00AF4403" w:rsidRDefault="00E61AD2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 Peer review</w:t>
            </w:r>
            <w:r w:rsidR="00961D90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961D90"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پێداچوونه‌وه‌ی هاوه‌ڵ                    </w:t>
            </w:r>
            <w:r w:rsidR="00C857AF"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         </w:t>
            </w:r>
            <w:r w:rsidR="00961D90"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                               </w:t>
            </w:r>
          </w:p>
          <w:p w:rsidR="0080086A" w:rsidRPr="00AF4403" w:rsidRDefault="00E61AD2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This course book has to be reviewed </w:t>
            </w:r>
            <w:r w:rsidR="0080086A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and signed 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by a peer</w:t>
            </w:r>
            <w:r w:rsidR="0080086A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The peer approves the contents of your course book by writing few sentences in this section.</w:t>
            </w:r>
          </w:p>
          <w:p w:rsidR="00E61AD2" w:rsidRPr="00AF4403" w:rsidRDefault="00E61AD2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="0080086A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peer is person who has enough knowledge about the subject you are teaching</w:t>
            </w:r>
            <w:r w:rsidR="0080086A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he/she has </w:t>
            </w:r>
            <w:r w:rsidR="0080086A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to be a professor, assistant professor</w:t>
            </w:r>
            <w:r w:rsidR="00961D90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80086A"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lecturer or an expert in the field of your subject).</w:t>
            </w:r>
          </w:p>
          <w:p w:rsidR="00961D90" w:rsidRPr="00AF4403" w:rsidRDefault="00961D90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له‌سه‌ر</w:t>
            </w:r>
            <w:r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بکات.</w:t>
            </w:r>
          </w:p>
          <w:p w:rsidR="00961D90" w:rsidRPr="00AF4403" w:rsidRDefault="006A57BA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‌‌ </w:t>
            </w:r>
          </w:p>
        </w:tc>
      </w:tr>
    </w:tbl>
    <w:p w:rsidR="008D46A4" w:rsidRPr="0084216A" w:rsidRDefault="008D46A4" w:rsidP="0084216A">
      <w:pPr>
        <w:spacing w:before="24" w:after="24"/>
        <w:ind w:left="63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4216A">
        <w:rPr>
          <w:rFonts w:asciiTheme="majorBidi" w:hAnsiTheme="majorBidi" w:cstheme="majorBidi"/>
          <w:color w:val="000000"/>
          <w:sz w:val="24"/>
          <w:szCs w:val="24"/>
        </w:rPr>
        <w:lastRenderedPageBreak/>
        <w:br/>
      </w:r>
    </w:p>
    <w:p w:rsidR="00E95307" w:rsidRPr="0084216A" w:rsidRDefault="00961D90" w:rsidP="0084216A">
      <w:pPr>
        <w:spacing w:before="24" w:after="24"/>
        <w:ind w:left="63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4216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</w:p>
    <w:sectPr w:rsidR="00E95307" w:rsidRPr="0084216A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5A" w:rsidRDefault="0068275A" w:rsidP="00483DD0">
      <w:pPr>
        <w:spacing w:after="0" w:line="240" w:lineRule="auto"/>
      </w:pPr>
      <w:r>
        <w:separator/>
      </w:r>
    </w:p>
  </w:endnote>
  <w:endnote w:type="continuationSeparator" w:id="0">
    <w:p w:rsidR="0068275A" w:rsidRDefault="0068275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5A" w:rsidRDefault="0068275A" w:rsidP="00483DD0">
      <w:pPr>
        <w:spacing w:after="0" w:line="240" w:lineRule="auto"/>
      </w:pPr>
      <w:r>
        <w:separator/>
      </w:r>
    </w:p>
  </w:footnote>
  <w:footnote w:type="continuationSeparator" w:id="0">
    <w:p w:rsidR="0068275A" w:rsidRDefault="0068275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64C7"/>
    <w:multiLevelType w:val="hybridMultilevel"/>
    <w:tmpl w:val="2530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7788"/>
    <w:multiLevelType w:val="hybridMultilevel"/>
    <w:tmpl w:val="DC06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37075"/>
    <w:multiLevelType w:val="hybridMultilevel"/>
    <w:tmpl w:val="282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7446B"/>
    <w:multiLevelType w:val="hybridMultilevel"/>
    <w:tmpl w:val="02C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E29F7"/>
    <w:multiLevelType w:val="hybridMultilevel"/>
    <w:tmpl w:val="2A8EE04C"/>
    <w:lvl w:ilvl="0" w:tplc="8196D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E5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2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0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8D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21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6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D1745"/>
    <w:multiLevelType w:val="hybridMultilevel"/>
    <w:tmpl w:val="277E8E50"/>
    <w:lvl w:ilvl="0" w:tplc="F788C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72687"/>
    <w:multiLevelType w:val="hybridMultilevel"/>
    <w:tmpl w:val="C3BA6EEA"/>
    <w:lvl w:ilvl="0" w:tplc="2F1004C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22F2"/>
    <w:rsid w:val="00010DF7"/>
    <w:rsid w:val="00016C8F"/>
    <w:rsid w:val="00075313"/>
    <w:rsid w:val="000F0683"/>
    <w:rsid w:val="000F1AD8"/>
    <w:rsid w:val="000F2337"/>
    <w:rsid w:val="00116C95"/>
    <w:rsid w:val="001321E4"/>
    <w:rsid w:val="001647A7"/>
    <w:rsid w:val="00166EE8"/>
    <w:rsid w:val="00185948"/>
    <w:rsid w:val="00192B5B"/>
    <w:rsid w:val="001A0C51"/>
    <w:rsid w:val="001B2149"/>
    <w:rsid w:val="001C7819"/>
    <w:rsid w:val="001D4800"/>
    <w:rsid w:val="00230D20"/>
    <w:rsid w:val="0025284B"/>
    <w:rsid w:val="0027011B"/>
    <w:rsid w:val="0027375B"/>
    <w:rsid w:val="00274ABC"/>
    <w:rsid w:val="002B7CC7"/>
    <w:rsid w:val="002F44B8"/>
    <w:rsid w:val="00331003"/>
    <w:rsid w:val="00354EE5"/>
    <w:rsid w:val="00363D81"/>
    <w:rsid w:val="003836D8"/>
    <w:rsid w:val="003B6252"/>
    <w:rsid w:val="003C582A"/>
    <w:rsid w:val="004406E6"/>
    <w:rsid w:val="00441BF4"/>
    <w:rsid w:val="00483DD0"/>
    <w:rsid w:val="004876D2"/>
    <w:rsid w:val="004B6803"/>
    <w:rsid w:val="004D1370"/>
    <w:rsid w:val="00506A29"/>
    <w:rsid w:val="00520135"/>
    <w:rsid w:val="00530280"/>
    <w:rsid w:val="00572B06"/>
    <w:rsid w:val="005A7560"/>
    <w:rsid w:val="005D7D5B"/>
    <w:rsid w:val="005F700D"/>
    <w:rsid w:val="006222C3"/>
    <w:rsid w:val="00634F2B"/>
    <w:rsid w:val="00672563"/>
    <w:rsid w:val="006766CD"/>
    <w:rsid w:val="0068275A"/>
    <w:rsid w:val="00695467"/>
    <w:rsid w:val="006A4636"/>
    <w:rsid w:val="006A57BA"/>
    <w:rsid w:val="006C3B09"/>
    <w:rsid w:val="006C5229"/>
    <w:rsid w:val="006F1D6A"/>
    <w:rsid w:val="006F2225"/>
    <w:rsid w:val="006F5726"/>
    <w:rsid w:val="00741405"/>
    <w:rsid w:val="007719CD"/>
    <w:rsid w:val="00785B88"/>
    <w:rsid w:val="007B0B05"/>
    <w:rsid w:val="007E3EA1"/>
    <w:rsid w:val="007E5058"/>
    <w:rsid w:val="007F0899"/>
    <w:rsid w:val="0080086A"/>
    <w:rsid w:val="0082734C"/>
    <w:rsid w:val="00830EE6"/>
    <w:rsid w:val="0084216A"/>
    <w:rsid w:val="00850F68"/>
    <w:rsid w:val="0086551E"/>
    <w:rsid w:val="008713E9"/>
    <w:rsid w:val="008810BB"/>
    <w:rsid w:val="00881962"/>
    <w:rsid w:val="008B4275"/>
    <w:rsid w:val="008B4F73"/>
    <w:rsid w:val="008B7E66"/>
    <w:rsid w:val="008D46A4"/>
    <w:rsid w:val="008E476C"/>
    <w:rsid w:val="00904A7A"/>
    <w:rsid w:val="00934248"/>
    <w:rsid w:val="0093684F"/>
    <w:rsid w:val="00961D90"/>
    <w:rsid w:val="00993558"/>
    <w:rsid w:val="00993C8D"/>
    <w:rsid w:val="009C7467"/>
    <w:rsid w:val="009F7BEC"/>
    <w:rsid w:val="00A205A8"/>
    <w:rsid w:val="00A72FB0"/>
    <w:rsid w:val="00A777E1"/>
    <w:rsid w:val="00AD502F"/>
    <w:rsid w:val="00AD68F9"/>
    <w:rsid w:val="00AF4403"/>
    <w:rsid w:val="00AF7EE9"/>
    <w:rsid w:val="00B06C0A"/>
    <w:rsid w:val="00B341B9"/>
    <w:rsid w:val="00B40130"/>
    <w:rsid w:val="00B8196C"/>
    <w:rsid w:val="00B90B6C"/>
    <w:rsid w:val="00B916A8"/>
    <w:rsid w:val="00B92E1B"/>
    <w:rsid w:val="00B97320"/>
    <w:rsid w:val="00BC091E"/>
    <w:rsid w:val="00C20528"/>
    <w:rsid w:val="00C26D96"/>
    <w:rsid w:val="00C46D58"/>
    <w:rsid w:val="00C51FC7"/>
    <w:rsid w:val="00C525DA"/>
    <w:rsid w:val="00C857AF"/>
    <w:rsid w:val="00CA6517"/>
    <w:rsid w:val="00CB150A"/>
    <w:rsid w:val="00CB5A81"/>
    <w:rsid w:val="00CC3DBB"/>
    <w:rsid w:val="00CC5CD1"/>
    <w:rsid w:val="00CD4ABA"/>
    <w:rsid w:val="00CE36A3"/>
    <w:rsid w:val="00CF5475"/>
    <w:rsid w:val="00D34D29"/>
    <w:rsid w:val="00D624DF"/>
    <w:rsid w:val="00D65663"/>
    <w:rsid w:val="00D669D3"/>
    <w:rsid w:val="00D67DDD"/>
    <w:rsid w:val="00D84A8B"/>
    <w:rsid w:val="00DB18AC"/>
    <w:rsid w:val="00DC5F3B"/>
    <w:rsid w:val="00DE5F3F"/>
    <w:rsid w:val="00E00A98"/>
    <w:rsid w:val="00E1589B"/>
    <w:rsid w:val="00E4244E"/>
    <w:rsid w:val="00E61AD2"/>
    <w:rsid w:val="00E873BC"/>
    <w:rsid w:val="00E95307"/>
    <w:rsid w:val="00ED3387"/>
    <w:rsid w:val="00EE60FC"/>
    <w:rsid w:val="00EF3C01"/>
    <w:rsid w:val="00F24F69"/>
    <w:rsid w:val="00F54A34"/>
    <w:rsid w:val="00F75073"/>
    <w:rsid w:val="00F87CB4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trong">
    <w:name w:val="Strong"/>
    <w:basedOn w:val="DefaultParagraphFont"/>
    <w:uiPriority w:val="22"/>
    <w:qFormat/>
    <w:rsid w:val="00D65663"/>
    <w:rPr>
      <w:b/>
      <w:bCs/>
    </w:rPr>
  </w:style>
  <w:style w:type="character" w:customStyle="1" w:styleId="apple-converted-space">
    <w:name w:val="apple-converted-space"/>
    <w:basedOn w:val="DefaultParagraphFont"/>
    <w:rsid w:val="00D65663"/>
  </w:style>
  <w:style w:type="paragraph" w:styleId="HTMLPreformatted">
    <w:name w:val="HTML Preformatted"/>
    <w:basedOn w:val="Normal"/>
    <w:link w:val="HTMLPreformattedChar"/>
    <w:rsid w:val="00230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30D20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trong">
    <w:name w:val="Strong"/>
    <w:basedOn w:val="DefaultParagraphFont"/>
    <w:uiPriority w:val="22"/>
    <w:qFormat/>
    <w:rsid w:val="00D65663"/>
    <w:rPr>
      <w:b/>
      <w:bCs/>
    </w:rPr>
  </w:style>
  <w:style w:type="character" w:customStyle="1" w:styleId="apple-converted-space">
    <w:name w:val="apple-converted-space"/>
    <w:basedOn w:val="DefaultParagraphFont"/>
    <w:rsid w:val="00D65663"/>
  </w:style>
  <w:style w:type="paragraph" w:styleId="HTMLPreformatted">
    <w:name w:val="HTML Preformatted"/>
    <w:basedOn w:val="Normal"/>
    <w:link w:val="HTMLPreformattedChar"/>
    <w:rsid w:val="00230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30D20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baba_wali</cp:lastModifiedBy>
  <cp:revision>39</cp:revision>
  <dcterms:created xsi:type="dcterms:W3CDTF">2016-03-21T18:05:00Z</dcterms:created>
  <dcterms:modified xsi:type="dcterms:W3CDTF">2018-03-01T15:38:00Z</dcterms:modified>
</cp:coreProperties>
</file>